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1099820</wp:posOffset>
            </wp:positionH>
            <wp:positionV relativeFrom="page">
              <wp:posOffset>1125855</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1160780</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2448560</wp:posOffset>
            </wp:positionH>
            <wp:positionV relativeFrom="paragraph">
              <wp:posOffset>135255</wp:posOffset>
            </wp:positionV>
            <wp:extent cx="822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left="1920" w:right="1520"/>
        <w:spacing w:after="0" w:line="241" w:lineRule="auto"/>
        <w:rPr>
          <w:sz w:val="20"/>
          <w:szCs w:val="20"/>
          <w:color w:val="auto"/>
        </w:rPr>
      </w:pPr>
      <w:r>
        <w:rPr>
          <w:rFonts w:ascii="Arial" w:cs="Arial" w:eastAsia="Arial" w:hAnsi="Arial"/>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2448560</wp:posOffset>
            </wp:positionH>
            <wp:positionV relativeFrom="paragraph">
              <wp:posOffset>128905</wp:posOffset>
            </wp:positionV>
            <wp:extent cx="822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0"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ind w:left="30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700" w:hanging="40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700" w:hanging="40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3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700" w:hanging="40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700" w:hanging="40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ARS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20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8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700" w:hanging="408"/>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700" w:hanging="408"/>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700" w:hanging="408"/>
        <w:spacing w:after="0"/>
        <w:tabs>
          <w:tab w:leader="none" w:pos="7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w:t>
      </w:r>
    </w:p>
    <w:p>
      <w:pPr>
        <w:spacing w:after="0" w:line="25" w:lineRule="exact"/>
        <w:rPr>
          <w:rFonts w:ascii="MS PGothic" w:cs="MS PGothic" w:eastAsia="MS PGothic" w:hAnsi="MS PGothic"/>
          <w:sz w:val="17"/>
          <w:szCs w:val="17"/>
          <w:color w:val="auto"/>
        </w:rPr>
      </w:pPr>
    </w:p>
    <w:p>
      <w:pPr>
        <w:ind w:left="300"/>
        <w:spacing w:after="0"/>
        <w:rPr>
          <w:rFonts w:ascii="MS PGothic" w:cs="MS PGothic" w:eastAsia="MS PGothic" w:hAnsi="MS PGothic"/>
          <w:sz w:val="17"/>
          <w:szCs w:val="17"/>
          <w:color w:val="auto"/>
        </w:rPr>
      </w:pPr>
      <w:r>
        <w:rPr>
          <w:rFonts w:ascii="Arial" w:cs="Arial" w:eastAsia="Arial" w:hAnsi="Arial"/>
          <w:sz w:val="18"/>
          <w:szCs w:val="18"/>
          <w:color w:val="auto"/>
        </w:rPr>
        <w:t>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1184910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160655</wp:posOffset>
            </wp:positionV>
            <wp:extent cx="5349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0350" cy="4577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4035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Arial" w:cs="Arial" w:eastAsia="Arial" w:hAnsi="Arial"/>
          <w:sz w:val="173"/>
          <w:szCs w:val="173"/>
          <w:b w:val="1"/>
          <w:bCs w:val="1"/>
          <w:color w:val="0B4B73"/>
        </w:rPr>
        <w:t>2026</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97"/>
          <w:szCs w:val="97"/>
          <w:color w:val="0B4B73"/>
        </w:rPr>
        <w:t>Proxy Statement</w:t>
      </w:r>
    </w:p>
    <w:p>
      <w:pPr>
        <w:ind w:left="300"/>
        <w:spacing w:after="0"/>
        <w:rPr>
          <w:sz w:val="20"/>
          <w:szCs w:val="20"/>
          <w:color w:val="auto"/>
        </w:rPr>
      </w:pPr>
      <w:r>
        <w:rPr>
          <w:rFonts w:ascii="Arial" w:cs="Arial" w:eastAsia="Arial" w:hAnsi="Arial"/>
          <w:sz w:val="40"/>
          <w:szCs w:val="40"/>
          <w:color w:val="0B4B73"/>
        </w:rPr>
        <w:t>And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1153795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1868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0B4B73"/>
        </w:rPr>
        <w:t>Dear Fellow Stockholders,</w:t>
      </w:r>
    </w:p>
    <w:p>
      <w:pPr>
        <w:spacing w:after="0" w:line="235" w:lineRule="exact"/>
        <w:rPr>
          <w:sz w:val="20"/>
          <w:szCs w:val="20"/>
          <w:color w:val="auto"/>
        </w:rPr>
      </w:pPr>
    </w:p>
    <w:p>
      <w:pPr>
        <w:jc w:val="both"/>
        <w:ind w:left="300" w:right="299" w:firstLine="441"/>
        <w:spacing w:after="0" w:line="230" w:lineRule="auto"/>
        <w:rPr>
          <w:sz w:val="20"/>
          <w:szCs w:val="20"/>
          <w:color w:val="auto"/>
        </w:rPr>
      </w:pPr>
      <w:r>
        <w:rPr>
          <w:rFonts w:ascii="Arial" w:cs="Arial" w:eastAsia="Arial" w:hAnsi="Arial"/>
          <w:sz w:val="18"/>
          <w:szCs w:val="18"/>
          <w:color w:val="auto"/>
        </w:rPr>
        <w:t xml:space="preserve">2025 marked a defining year for ARS Pharmaceuticals, highlighted by the successful commercial launch of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(epinephrine nasal spray). Epinephrine is the only medication proven to stop a potentially life-threatening allergic reaction, and today,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is the only FDA- and European Commission-approved needle-free epinephrine treatment for adults and children with Type I allergic reactions, including anaphylaxis.</w:t>
      </w:r>
    </w:p>
    <w:p>
      <w:pPr>
        <w:spacing w:after="0" w:line="184"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 xml:space="preserve">Our first full-year as a commercial-stage company was focused on building a strong foundation for long-term success. We established our commercial infrastructure, expanded awareness among patients, caregivers, and physicians, and drove meaningful early uptake of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across the United States. Early launch dynamics have been encouraging, reflecting both patient demand for a needle-free alternative and growing confidence among healthcare providers.</w:t>
      </w:r>
    </w:p>
    <w:p>
      <w:pPr>
        <w:spacing w:after="0" w:line="176"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 xml:space="preserve">More than 22,500 healthcare providers have prescribed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to date, reflecting strong early adoption across the allergy community. We have achieved over 90% overall commercial coverage and are making continued progress toward broad, unrestricted access. At the same time, our direct-to-consumer initiatives have meaningfully increased patient awareness and demand, supporting growing prescription volume and expanding access to a needle-free epinephrine option.</w:t>
      </w:r>
    </w:p>
    <w:p>
      <w:pPr>
        <w:spacing w:after="0" w:line="176" w:lineRule="exact"/>
        <w:rPr>
          <w:sz w:val="20"/>
          <w:szCs w:val="20"/>
          <w:color w:val="auto"/>
        </w:rPr>
      </w:pPr>
    </w:p>
    <w:p>
      <w:pPr>
        <w:jc w:val="both"/>
        <w:ind w:left="300" w:right="319" w:firstLine="441"/>
        <w:spacing w:after="0" w:line="244" w:lineRule="auto"/>
        <w:rPr>
          <w:sz w:val="20"/>
          <w:szCs w:val="20"/>
          <w:color w:val="auto"/>
        </w:rPr>
      </w:pPr>
      <w:r>
        <w:rPr>
          <w:rFonts w:ascii="Arial" w:cs="Arial" w:eastAsia="Arial" w:hAnsi="Arial"/>
          <w:sz w:val="18"/>
          <w:szCs w:val="18"/>
          <w:color w:val="auto"/>
        </w:rPr>
        <w:t xml:space="preserve">We are building on this momentum by further increasing awareness and improving access. Our direct-to-consumer efforts are expanding to reach more patients, while programs such as “Get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on Us” are helping eligible individuals access treatment through a virtual prescriber with a $0 copay. At the same time, we are deepening engagement with allergists and pediatricians to support integration of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into routine prescribing practices.</w:t>
      </w:r>
    </w:p>
    <w:p>
      <w:pPr>
        <w:spacing w:after="0" w:line="176" w:lineRule="exact"/>
        <w:rPr>
          <w:sz w:val="20"/>
          <w:szCs w:val="20"/>
          <w:color w:val="auto"/>
        </w:rPr>
      </w:pPr>
    </w:p>
    <w:p>
      <w:pPr>
        <w:jc w:val="both"/>
        <w:ind w:left="300" w:right="319" w:firstLine="441"/>
        <w:spacing w:after="0" w:line="253" w:lineRule="auto"/>
        <w:rPr>
          <w:sz w:val="20"/>
          <w:szCs w:val="20"/>
          <w:color w:val="auto"/>
        </w:rPr>
      </w:pPr>
      <w:r>
        <w:rPr>
          <w:rFonts w:ascii="Arial" w:cs="Arial" w:eastAsia="Arial" w:hAnsi="Arial"/>
          <w:sz w:val="18"/>
          <w:szCs w:val="18"/>
          <w:color w:val="auto"/>
        </w:rPr>
        <w:t xml:space="preserve">Importantly,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has established a global footprint, with approvals secured by our partners in Europe, China, Japan, Australia, and Canada. These developments position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to reach a broader worldwide population in the coming years.</w:t>
      </w:r>
    </w:p>
    <w:p>
      <w:pPr>
        <w:spacing w:after="0" w:line="169"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 xml:space="preserve">In parallel, we are advancing our intranasal epinephrine platform for another highly prevalent condition impacting everyday quality of life. This includes a Phase 2b randomized, placebo-controlled clinical trial evaluating treatment for acute flares of chronic spontaneous urticaria (CSU), a mast-cell driven condition characterized by unpredictable and very disruptive hives, redness and swelling. Approximately 50% of the 2 million people with CSU in the U.S. experience recurrent flares despite standard therapy, often occurring multiple times per year. The chronic nature of these episodes suggests a treatment opportunity that is even larger than the initial indication for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Our Phase 2b trial is underway, and we anticipate interim data in the second half of 2026.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both"/>
        <w:ind w:left="300" w:right="299" w:firstLine="441"/>
        <w:spacing w:after="0" w:line="250" w:lineRule="auto"/>
        <w:rPr>
          <w:sz w:val="20"/>
          <w:szCs w:val="20"/>
          <w:color w:val="auto"/>
        </w:rPr>
      </w:pPr>
      <w:r>
        <w:rPr>
          <w:rFonts w:ascii="Arial" w:cs="Arial" w:eastAsia="Arial" w:hAnsi="Arial"/>
          <w:sz w:val="18"/>
          <w:szCs w:val="18"/>
          <w:color w:val="auto"/>
        </w:rPr>
        <w:t xml:space="preserve">We remain focused on disciplined investment as we scale the business. We ended 2025 well-capitalized, with $245 million in cash, cash equivalents, and short-term investments, which we expect will support operations through cash-flow breakeven. Importantly, this balance sheet strength enables our continued strategic investments in </w:t>
      </w:r>
      <w:r>
        <w:rPr>
          <w:rFonts w:ascii="Arial" w:cs="Arial" w:eastAsia="Arial" w:hAnsi="Arial"/>
          <w:sz w:val="18"/>
          <w:szCs w:val="18"/>
          <w:b w:val="1"/>
          <w:bCs w:val="1"/>
          <w:i w:val="1"/>
          <w:iCs w:val="1"/>
          <w:color w:val="auto"/>
        </w:rPr>
        <w:t>neffy’s</w:t>
      </w:r>
      <w:r>
        <w:rPr>
          <w:rFonts w:ascii="Arial" w:cs="Arial" w:eastAsia="Arial" w:hAnsi="Arial"/>
          <w:sz w:val="18"/>
          <w:szCs w:val="18"/>
          <w:color w:val="auto"/>
        </w:rPr>
        <w:t xml:space="preserve"> U.S. commercial growth.</w:t>
      </w:r>
    </w:p>
    <w:p>
      <w:pPr>
        <w:spacing w:after="0" w:line="164"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 xml:space="preserve">While it is still early in </w:t>
      </w:r>
      <w:r>
        <w:rPr>
          <w:rFonts w:ascii="Arial" w:cs="Arial" w:eastAsia="Arial" w:hAnsi="Arial"/>
          <w:sz w:val="18"/>
          <w:szCs w:val="18"/>
          <w:b w:val="1"/>
          <w:bCs w:val="1"/>
          <w:i w:val="1"/>
          <w:iCs w:val="1"/>
          <w:color w:val="auto"/>
        </w:rPr>
        <w:t>neffy’s</w:t>
      </w:r>
      <w:r>
        <w:rPr>
          <w:rFonts w:ascii="Arial" w:cs="Arial" w:eastAsia="Arial" w:hAnsi="Arial"/>
          <w:sz w:val="18"/>
          <w:szCs w:val="18"/>
          <w:color w:val="auto"/>
        </w:rPr>
        <w:t xml:space="preserve"> commercial lifecycle, we believe we have established a strong foundation for building a durable and differentiated brand. Our focus remains on expanding patient access, accelerating adoption, and advancing our pipeline and global opportunities.</w:t>
      </w:r>
    </w:p>
    <w:p>
      <w:pPr>
        <w:spacing w:after="0" w:line="169" w:lineRule="exact"/>
        <w:rPr>
          <w:sz w:val="20"/>
          <w:szCs w:val="20"/>
          <w:color w:val="auto"/>
        </w:rPr>
      </w:pPr>
    </w:p>
    <w:p>
      <w:pPr>
        <w:jc w:val="both"/>
        <w:ind w:left="300" w:right="299" w:firstLine="441"/>
        <w:spacing w:after="0" w:line="271" w:lineRule="auto"/>
        <w:rPr>
          <w:sz w:val="20"/>
          <w:szCs w:val="20"/>
          <w:color w:val="auto"/>
        </w:rPr>
      </w:pPr>
      <w:r>
        <w:rPr>
          <w:rFonts w:ascii="Arial" w:cs="Arial" w:eastAsia="Arial" w:hAnsi="Arial"/>
          <w:sz w:val="18"/>
          <w:szCs w:val="18"/>
          <w:color w:val="auto"/>
        </w:rPr>
        <w:t>Our progress to date reflects the strength of our team, whose experience, focus, and commitment position us well to execute on our strategy and deliver for patients and stockholders.</w:t>
      </w:r>
    </w:p>
    <w:p>
      <w:pPr>
        <w:spacing w:after="0" w:line="154" w:lineRule="exact"/>
        <w:rPr>
          <w:sz w:val="20"/>
          <w:szCs w:val="20"/>
          <w:color w:val="auto"/>
        </w:rPr>
      </w:pPr>
    </w:p>
    <w:p>
      <w:pPr>
        <w:jc w:val="both"/>
        <w:ind w:left="300" w:right="319" w:firstLine="441"/>
        <w:spacing w:after="0" w:line="253" w:lineRule="auto"/>
        <w:rPr>
          <w:sz w:val="20"/>
          <w:szCs w:val="20"/>
          <w:color w:val="auto"/>
        </w:rPr>
      </w:pPr>
      <w:r>
        <w:rPr>
          <w:rFonts w:ascii="Arial" w:cs="Arial" w:eastAsia="Arial" w:hAnsi="Arial"/>
          <w:sz w:val="18"/>
          <w:szCs w:val="18"/>
          <w:color w:val="auto"/>
        </w:rPr>
        <w:t>We believe ARS Pharmaceuticals is well positioned to deliver long-term value for patients and stockholders. On behalf of our Board of Directors and the entire ARS team, thank you for your continued support.</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w:t>
      </w:r>
    </w:p>
    <w:p>
      <w:pPr>
        <w:spacing w:after="0" w:line="9" w:lineRule="exact"/>
        <w:rPr>
          <w:sz w:val="20"/>
          <w:szCs w:val="20"/>
          <w:color w:val="auto"/>
        </w:rPr>
      </w:pPr>
    </w:p>
    <w:p>
      <w:pPr>
        <w:ind w:left="300"/>
        <w:spacing w:after="0" w:line="207" w:lineRule="exact"/>
        <w:rPr>
          <w:sz w:val="20"/>
          <w:szCs w:val="20"/>
          <w:color w:val="auto"/>
        </w:rPr>
      </w:pPr>
      <w:r>
        <w:rPr>
          <w:rFonts w:ascii="Arial" w:cs="Arial" w:eastAsia="Arial" w:hAnsi="Arial"/>
          <w:sz w:val="18"/>
          <w:szCs w:val="18"/>
          <w:b w:val="1"/>
          <w:bCs w:val="1"/>
          <w:color w:val="auto"/>
        </w:rPr>
        <w:t>Richard Lowenthal</w:t>
      </w:r>
      <w:r>
        <w:rPr>
          <w:rFonts w:ascii="MS PGothic" w:cs="MS PGothic" w:eastAsia="MS PGothic" w:hAnsi="MS PGothic"/>
          <w:sz w:val="18"/>
          <w:szCs w:val="18"/>
          <w:color w:val="auto"/>
        </w:rPr>
        <w:t> </w:t>
      </w:r>
    </w:p>
    <w:p>
      <w:pPr>
        <w:ind w:left="300"/>
        <w:spacing w:after="0"/>
        <w:rPr>
          <w:sz w:val="20"/>
          <w:szCs w:val="20"/>
          <w:color w:val="auto"/>
        </w:rPr>
      </w:pPr>
      <w:r>
        <w:rPr>
          <w:rFonts w:ascii="Arial" w:cs="Arial" w:eastAsia="Arial" w:hAnsi="Arial"/>
          <w:sz w:val="18"/>
          <w:szCs w:val="18"/>
          <w:color w:val="auto"/>
        </w:rPr>
        <w:t>Co-Founder, President and Chief Executive Officer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2874010</wp:posOffset>
            </wp:positionH>
            <wp:positionV relativeFrom="page">
              <wp:posOffset>911860</wp:posOffset>
            </wp:positionV>
            <wp:extent cx="1800225" cy="84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0022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B4B73"/>
        </w:rPr>
        <w:t>11682 El Camino Real, Suite 300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B4B73"/>
        </w:rPr>
        <w:t>San Diego, CA 92130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B4B73"/>
        </w:rPr>
        <w:t>Notice of Annual Meeting of Stockholders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B4B73"/>
        </w:rPr>
        <w:t>To Be Held On June 24, 2026</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You are cordially invited to attend the 2026 Annual Meeting of Stockholders (the “Annual Meeting”) of ARS Pharmaceuticals, Inc., a Delaware corporation, to be held on Wednesday, June 24, 2026 at 7:30 a.m. Pacific Time. The Annual Meeting will be held in a virtual meeting format only, via the internet, with no physical in-person meeting. You will be able to attend and participate in the Annual Meeting online by visiting www.proxydocs.com/SPRY, where you will be able to listen to the meeting live, submit questions, and vote. The Annual Meeting is being held for the following purposes.</w:t>
      </w:r>
    </w:p>
    <w:p>
      <w:pPr>
        <w:spacing w:after="0" w:line="71" w:lineRule="exact"/>
        <w:rPr>
          <w:sz w:val="20"/>
          <w:szCs w:val="20"/>
          <w:color w:val="auto"/>
        </w:rPr>
      </w:pPr>
    </w:p>
    <w:p>
      <w:pPr>
        <w:jc w:val="both"/>
        <w:ind w:left="1180" w:right="319" w:hanging="448"/>
        <w:spacing w:after="0" w:line="253"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our Board of Director’s three nominees for Class III director named in the accompanying proxy statement to serve for three-year terms until the 2029 Annual Meeting of Stockholders.</w:t>
      </w:r>
    </w:p>
    <w:p>
      <w:pPr>
        <w:spacing w:after="0" w:line="60" w:lineRule="exact"/>
        <w:rPr>
          <w:rFonts w:ascii="Arial" w:cs="Arial" w:eastAsia="Arial" w:hAnsi="Arial"/>
          <w:sz w:val="18"/>
          <w:szCs w:val="18"/>
          <w:color w:val="auto"/>
        </w:rPr>
      </w:pPr>
    </w:p>
    <w:p>
      <w:pPr>
        <w:jc w:val="both"/>
        <w:ind w:left="1180" w:right="299" w:hanging="448"/>
        <w:spacing w:after="0" w:line="253"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Ernst &amp; Young LLP as our independent registered public accounting firm for our fiscal year ending December 31, 2026.</w:t>
      </w:r>
    </w:p>
    <w:p>
      <w:pPr>
        <w:spacing w:after="0" w:line="60" w:lineRule="exact"/>
        <w:rPr>
          <w:rFonts w:ascii="Arial" w:cs="Arial" w:eastAsia="Arial" w:hAnsi="Arial"/>
          <w:sz w:val="18"/>
          <w:szCs w:val="18"/>
          <w:color w:val="auto"/>
        </w:rPr>
      </w:pPr>
    </w:p>
    <w:p>
      <w:pPr>
        <w:ind w:left="1180" w:right="319" w:hanging="448"/>
        <w:spacing w:after="0" w:line="271"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 as disclosed in the accompanying proxy statement.</w:t>
      </w:r>
    </w:p>
    <w:p>
      <w:pPr>
        <w:spacing w:after="0" w:line="45" w:lineRule="exact"/>
        <w:rPr>
          <w:rFonts w:ascii="Arial" w:cs="Arial" w:eastAsia="Arial" w:hAnsi="Arial"/>
          <w:sz w:val="18"/>
          <w:szCs w:val="18"/>
          <w:color w:val="auto"/>
        </w:rPr>
      </w:pPr>
    </w:p>
    <w:p>
      <w:pPr>
        <w:ind w:left="1180" w:right="299" w:hanging="448"/>
        <w:spacing w:after="0" w:line="271"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indicate, on an advisory basis, the preferred frequency of stockholder advisory votes on the compensation of the Company’s named executive officers.</w:t>
      </w:r>
    </w:p>
    <w:p>
      <w:pPr>
        <w:spacing w:after="0" w:line="45" w:lineRule="exact"/>
        <w:rPr>
          <w:rFonts w:ascii="Arial" w:cs="Arial" w:eastAsia="Arial" w:hAnsi="Arial"/>
          <w:sz w:val="18"/>
          <w:szCs w:val="18"/>
          <w:color w:val="auto"/>
        </w:rPr>
      </w:pPr>
    </w:p>
    <w:p>
      <w:pPr>
        <w:ind w:left="1180" w:hanging="44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12"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Annual Meeting will be a completely virtual meeting of stockholders. To participate, vote or submit questions during the Annual Meeting via live webcast, you must register in advance at www.proxydocs.com/SPRY prior to the deadline of Tuesday, June 23, 2026 at 5:00 p.m. Eastern Time. You will not be able to attend the Annual Meeting in person.</w:t>
      </w:r>
    </w:p>
    <w:p>
      <w:pPr>
        <w:spacing w:after="0" w:line="174"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Our Board of Directors recommends a vote “FOR” the election of all its nominees for director to our Board of Directors, “FOR” the ratification of the selection by the Audit Committee of the Board of Directors of Ernst &amp; Young LLP as our independent registered public accounting firm for our fiscal year ending December 31, 2026, “FOR” the advisory approval of the compensation of our named executive officers, as disclosed in the proxy statement, and for a “One Year” frequency of holding future Say-on-Pay advisory votes on executive compensation. The accompanying proxy statement contains additional information and should be carefully reviewed by stockholders.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jc w:val="both"/>
        <w:ind w:left="300" w:right="319" w:firstLine="441"/>
        <w:spacing w:after="0" w:line="271" w:lineRule="auto"/>
        <w:rPr>
          <w:sz w:val="20"/>
          <w:szCs w:val="20"/>
          <w:color w:val="auto"/>
        </w:rPr>
      </w:pPr>
      <w:r>
        <w:rPr>
          <w:rFonts w:ascii="Arial" w:cs="Arial" w:eastAsia="Arial" w:hAnsi="Arial"/>
          <w:sz w:val="18"/>
          <w:szCs w:val="18"/>
          <w:color w:val="auto"/>
        </w:rPr>
        <w:t>The record date for the Annual Meeting is April 27, 2026. Only stockholders of record at the close of business on that date may vote at the meeting or any adjournment or postponement thereof.</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Lowenthal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-1905</wp:posOffset>
            </wp:positionV>
            <wp:extent cx="2134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Richard Lowenthal, M.S., MSEL</w:t>
      </w:r>
    </w:p>
    <w:p>
      <w:pPr>
        <w:ind w:left="5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29, 2026</w:t>
      </w:r>
    </w:p>
    <w:p>
      <w:pPr>
        <w:spacing w:after="0" w:line="194"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b w:val="1"/>
          <w:bCs w:val="1"/>
          <w:color w:val="auto"/>
        </w:rPr>
        <w:t>You are cordially invited to attend the Annual Meeting. Whether or not you expect to attend the meeting, you are urged to cast your vote as soon as possible. You may vote your shares via the internet or via a toll-free telephone number by following the instructions on the Notice of Internet Availability of Proxy Materials. In addition, if you received paper copies of the proxy materials by mail, you can also vote by mail by following the instructions on the proxy card. Submitting a proxy card will not prevent you from attending the Annual Meeting and voting at the Annual Meeting if you so desire. Please note, however, that if your shares are held of record by a broker, bank, or other nominee and you wish to vote at the meeting, you must obtain from the record holder a proxy issued in your name.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 w:name="page7"/>
    <w:bookmarkEnd w:id="6"/>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B4B73"/>
        </w:rPr>
        <w:t>Special Note Regarding Forward-Looking Statements</w:t>
      </w:r>
    </w:p>
    <w:p>
      <w:pPr>
        <w:spacing w:after="0" w:line="216" w:lineRule="exact"/>
        <w:rPr>
          <w:sz w:val="20"/>
          <w:szCs w:val="20"/>
          <w:color w:val="auto"/>
        </w:rPr>
      </w:pPr>
    </w:p>
    <w:p>
      <w:pPr>
        <w:jc w:val="both"/>
        <w:ind w:left="300" w:right="299" w:firstLine="441"/>
        <w:spacing w:after="0" w:line="235" w:lineRule="auto"/>
        <w:rPr>
          <w:sz w:val="20"/>
          <w:szCs w:val="20"/>
          <w:color w:val="auto"/>
        </w:rPr>
      </w:pPr>
      <w:r>
        <w:rPr>
          <w:rFonts w:ascii="Arial" w:cs="Arial" w:eastAsia="Arial" w:hAnsi="Arial"/>
          <w:sz w:val="18"/>
          <w:szCs w:val="18"/>
          <w:color w:val="auto"/>
        </w:rPr>
        <w:t xml:space="preserve">This proxy statement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proxy statement are forward-looking statements. These statements include, but are not limited to: the belief that direct-to-consumer initiatives have meaningfully increased patient awareness and demand; the potential for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to reach a broader worldwide population; the anticipated timing of interim data from the Phase 2b trial evaluating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for the treatment of acute flares of chronic spontaneous urticaria; the belief that chronic spontaneous urticaria represents a treatment opportunity larger than the initial anaphylaxis indication; our projected cash runway and belief that it can fund operations through cash-flow break-even; our belief that we are well positioned to expand patient access, accelerate adoption, advance our pipeline and global opportunities, and deliver long-term value for patients and stockholders; and the benefits of our Get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on Us program. In particular, statements regarding our plans, strategies, prospects and expectations regarding our business and industry are forward-looking statements. In some cases, you can identify forward-looking statements by words such as "anticipate," "believe," "can," "continue," "could," "expect," “goal,” “intend,” "may," "plan," "remain," "should," and "will," or the negative of these words or other comparable terminology. They reflect our expectations, are not guarantees of performance and speak only as of the date of this proxy statement. Except as required by law, we do not undertake to update such forward-looking statements. You should not rely unduly on forward-looking statements. 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the ability to maintain regulatory approval for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in its currently approved indications; results from clinical trials and non-clinical studies may not be indicative of results that may be observed in the future; the risk that we may not realize our expected return on investment from our direct-to-consumer campaign; potential safety and other complications from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the labeling for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in any future indication or patient population; the scope, progress and expansion of developing and commercializing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xml:space="preserve">; reliance on our licensing and co-promotion partners; the potential for payors and governments to delay, limit or deny coverage or reimbursements for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the size and growth of the market therefor and the rate and degree of market acceptance thereof vis-à-vis intramuscular injectable products; net product sales may not be indicative of profitability or profitability at expected levels; reliance on survey results with small sample sizes; our ability to protect our intellectual property position; and the impact of government laws and regulations. Additional risks and uncertainties that could cause actual outcomes and results to differ materially from those contemplated by the forward-looking statements are included under the caption “Risk Factors” in our Annual Report on Form 10-K for the year ended December 31, 2025, filed with the SEC on March 9, 2026, as well as other filings we make with the Securities and Exchange Commission (“SEC”) from time to time. This and other documents we file with the SEC can also be accessed on our website at www.ars-pharma.com by clicking on the link “Financial Filings” under the “Investors &amp; Media” tab.</w:t>
      </w:r>
    </w:p>
    <w:p>
      <w:pPr>
        <w:spacing w:after="0" w:line="209"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Website links included in this proxy statement are for convenience only. Information contained on or accessible through such website links is not incorporated herein and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0350" cy="677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03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0B4B7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25400</wp:posOffset>
            </wp:positionV>
            <wp:extent cx="5349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20" w:type="dxa"/>
            <w:vAlign w:val="bottom"/>
          </w:tcPr>
          <w:p>
            <w:pPr>
              <w:ind w:left="1320"/>
              <w:spacing w:after="0"/>
              <w:rPr>
                <w:sz w:val="20"/>
                <w:szCs w:val="20"/>
                <w:color w:val="auto"/>
              </w:rPr>
            </w:pPr>
            <w:r>
              <w:rPr>
                <w:rFonts w:ascii="Arial" w:cs="Arial" w:eastAsia="Arial" w:hAnsi="Arial"/>
                <w:sz w:val="18"/>
                <w:szCs w:val="18"/>
                <w:color w:val="auto"/>
              </w:rPr>
              <w:t>Letter to Our Stockholders</w:t>
            </w:r>
          </w:p>
        </w:tc>
        <w:tc>
          <w:tcPr>
            <w:tcW w:w="10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Borders>
              <w:bottom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Notice of 2026 Annual Meeting of Stockholders</w:t>
            </w:r>
          </w:p>
        </w:tc>
        <w:tc>
          <w:tcPr>
            <w:tcW w:w="100" w:type="dxa"/>
            <w:vAlign w:val="bottom"/>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Arial" w:cs="Arial" w:eastAsia="Arial" w:hAnsi="Arial"/>
                <w:sz w:val="18"/>
                <w:szCs w:val="18"/>
                <w:color w:val="0000FF"/>
                <w:w w:val="79"/>
              </w:rPr>
              <w:t>5</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Questions and Answers about These Proxy Materials and Voting</w:t>
            </w:r>
          </w:p>
        </w:tc>
        <w:tc>
          <w:tcPr>
            <w:tcW w:w="100" w:type="dxa"/>
            <w:vAlign w:val="bottom"/>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Arial" w:cs="Arial" w:eastAsia="Arial" w:hAnsi="Arial"/>
                <w:sz w:val="18"/>
                <w:szCs w:val="18"/>
                <w:color w:val="0000FF"/>
                <w:w w:val="79"/>
              </w:rPr>
              <w:t>9</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b w:val="1"/>
                <w:bCs w:val="1"/>
                <w:color w:val="0B4B73"/>
              </w:rPr>
              <w:t>Proposal 1—Election of Directors</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18</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b w:val="1"/>
                <w:bCs w:val="1"/>
                <w:color w:val="0B4B73"/>
              </w:rPr>
              <w:t>Proposal 2—Ratification of Selection of Independent Registered Public Accounting Firm</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24</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b w:val="1"/>
                <w:bCs w:val="1"/>
                <w:color w:val="0B4B73"/>
              </w:rPr>
              <w:t>Proposal 3—Advisory Vote to Approve Executive Compensation</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26</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b w:val="1"/>
                <w:bCs w:val="1"/>
                <w:color w:val="0B4B73"/>
              </w:rPr>
              <w:t>Proposal 4—Advisory Vote on Frequency to Approve Executive Compensation</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27</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Information Regarding the Board of Directors and Corporate Governance</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28</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Executive Officers</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38</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Executive Compensation</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42</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Director Compensation</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59</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Security Ownership of Principal Stockholders and Management</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61</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Certain Related-Person Transactions</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64</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Equity Compensation Plan Information</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67</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Householding of Proxy Materials</w:t>
            </w:r>
          </w:p>
        </w:tc>
        <w:tc>
          <w:tcPr>
            <w:tcW w:w="200" w:type="dxa"/>
            <w:vAlign w:val="bottom"/>
            <w:tcBorders>
              <w:bottom w:val="single" w:sz="8" w:color="0000FF"/>
            </w:tcBorders>
            <w:gridSpan w:val="2"/>
          </w:tcPr>
          <w:p>
            <w:pPr>
              <w:jc w:val="right"/>
              <w:spacing w:after="0" w:line="182" w:lineRule="exact"/>
              <w:rPr>
                <w:sz w:val="20"/>
                <w:szCs w:val="20"/>
                <w:color w:val="auto"/>
              </w:rPr>
            </w:pPr>
            <w:r>
              <w:rPr>
                <w:rFonts w:ascii="Arial" w:cs="Arial" w:eastAsia="Arial" w:hAnsi="Arial"/>
                <w:sz w:val="18"/>
                <w:szCs w:val="18"/>
                <w:color w:val="0000FF"/>
                <w:w w:val="89"/>
              </w:rPr>
              <w:t>68</w:t>
            </w:r>
          </w:p>
        </w:tc>
        <w:tc>
          <w:tcPr>
            <w:tcW w:w="20" w:type="dxa"/>
            <w:vAlign w:val="bottom"/>
            <w:tcBorders>
              <w:bottom w:val="single" w:sz="8" w:color="0000EE"/>
            </w:tcBorders>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9520" w:type="dxa"/>
            <w:vAlign w:val="bottom"/>
          </w:tcPr>
          <w:p>
            <w:pPr>
              <w:ind w:left="1320"/>
              <w:spacing w:after="0" w:line="182" w:lineRule="exact"/>
              <w:rPr>
                <w:sz w:val="20"/>
                <w:szCs w:val="20"/>
                <w:color w:val="auto"/>
              </w:rPr>
            </w:pPr>
            <w:r>
              <w:rPr>
                <w:rFonts w:ascii="Arial" w:cs="Arial" w:eastAsia="Arial" w:hAnsi="Arial"/>
                <w:sz w:val="18"/>
                <w:szCs w:val="18"/>
                <w:color w:val="auto"/>
              </w:rPr>
              <w:t>Other Matters</w:t>
            </w:r>
          </w:p>
        </w:tc>
        <w:tc>
          <w:tcPr>
            <w:tcW w:w="2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0000FF"/>
                <w:w w:val="89"/>
              </w:rPr>
              <w:t>69</w:t>
            </w:r>
          </w:p>
        </w:tc>
        <w:tc>
          <w:tcPr>
            <w:tcW w:w="1300" w:type="dxa"/>
            <w:vAlign w:val="bottom"/>
          </w:tcPr>
          <w:p>
            <w:pPr>
              <w:spacing w:after="0"/>
              <w:rPr>
                <w:sz w:val="15"/>
                <w:szCs w:val="15"/>
                <w:color w:val="auto"/>
              </w:rPr>
            </w:pPr>
          </w:p>
        </w:tc>
      </w:tr>
      <w:tr>
        <w:trPr>
          <w:trHeight w:val="227"/>
        </w:trPr>
        <w:tc>
          <w:tcPr>
            <w:tcW w:w="9520" w:type="dxa"/>
            <w:vAlign w:val="bottom"/>
          </w:tcPr>
          <w:p>
            <w:pPr>
              <w:ind w:left="1320"/>
              <w:spacing w:after="0"/>
              <w:rPr>
                <w:sz w:val="20"/>
                <w:szCs w:val="20"/>
                <w:color w:val="auto"/>
              </w:rPr>
            </w:pPr>
            <w:r>
              <w:rPr>
                <w:rFonts w:ascii="Arial" w:cs="Arial" w:eastAsia="Arial" w:hAnsi="Arial"/>
                <w:sz w:val="18"/>
                <w:szCs w:val="18"/>
                <w:color w:val="auto"/>
              </w:rPr>
              <w:t>Proxy Card</w:t>
            </w: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918"/>
        </w:trPr>
        <w:tc>
          <w:tcPr>
            <w:tcW w:w="9520" w:type="dxa"/>
            <w:vAlign w:val="bottom"/>
          </w:tcPr>
          <w:p>
            <w:pPr>
              <w:ind w:left="5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05"/>
        </w:trPr>
        <w:tc>
          <w:tcPr>
            <w:tcW w:w="9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2874010</wp:posOffset>
            </wp:positionH>
            <wp:positionV relativeFrom="page">
              <wp:posOffset>911860</wp:posOffset>
            </wp:positionV>
            <wp:extent cx="1800225" cy="840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0022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B4B73"/>
        </w:rPr>
        <w:t>11682 El Camino Real, Suite 300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B4B73"/>
        </w:rPr>
        <w:t>San Diego, CA 92130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B4B73"/>
        </w:rPr>
        <w:t>Proxy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B4B73"/>
        </w:rPr>
        <w:t>for the Annual Meeting of Stockholders</w:t>
      </w:r>
    </w:p>
    <w:p>
      <w:pPr>
        <w:jc w:val="center"/>
        <w:spacing w:after="0"/>
        <w:rPr>
          <w:sz w:val="20"/>
          <w:szCs w:val="20"/>
          <w:color w:val="auto"/>
        </w:rPr>
      </w:pPr>
      <w:r>
        <w:rPr>
          <w:rFonts w:ascii="Arial" w:cs="Arial" w:eastAsia="Arial" w:hAnsi="Arial"/>
          <w:sz w:val="18"/>
          <w:szCs w:val="18"/>
          <w:b w:val="1"/>
          <w:bCs w:val="1"/>
          <w:color w:val="0B4B73"/>
        </w:rPr>
        <w:t>To Be Held On June 24, 2026</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Questions and Answers About These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Proxy Materials and Voting</w:t>
      </w:r>
    </w:p>
    <w:p>
      <w:pPr>
        <w:spacing w:after="0" w:line="196" w:lineRule="exact"/>
        <w:rPr>
          <w:sz w:val="20"/>
          <w:szCs w:val="20"/>
          <w:color w:val="auto"/>
        </w:rPr>
      </w:pPr>
    </w:p>
    <w:p>
      <w:pPr>
        <w:jc w:val="both"/>
        <w:ind w:left="300" w:right="319"/>
        <w:spacing w:after="0" w:line="270" w:lineRule="auto"/>
        <w:rPr>
          <w:sz w:val="20"/>
          <w:szCs w:val="20"/>
          <w:color w:val="auto"/>
        </w:rPr>
      </w:pPr>
      <w:r>
        <w:rPr>
          <w:rFonts w:ascii="Arial" w:cs="Arial" w:eastAsia="Arial" w:hAnsi="Arial"/>
          <w:sz w:val="22"/>
          <w:szCs w:val="22"/>
          <w:b w:val="1"/>
          <w:bCs w:val="1"/>
          <w:i w:val="1"/>
          <w:iCs w:val="1"/>
          <w:color w:val="0B4B73"/>
        </w:rPr>
        <w:t>Why did I receive a notice regarding the availability of proxy materials on the internet?</w:t>
      </w:r>
    </w:p>
    <w:p>
      <w:pPr>
        <w:spacing w:after="0" w:line="32"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We have sent you a Notice of Internet Availability of Proxy Materials (the “Notice”) because the Board of Directors (sometimes referred to as the “Board”) of ARS Pharmaceuticals, Inc. (sometimes referred to as “we,” “our,” “us,” the “Company” or “ARS Pharma”) is soliciting your proxy to vote at the 2026 Annual Meeting of Stockholders, including at any adjournments or postponements of the meeting (the “Annual Meeting”). Pursuant to rules adopted by the SEC, we have elected to provide access to our proxy materials over the internet. Accordingly, we have sent a Notice to our stockholders of record.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3" w:lineRule="exact"/>
        <w:rPr>
          <w:sz w:val="20"/>
          <w:szCs w:val="20"/>
          <w:color w:val="auto"/>
        </w:rPr>
      </w:pPr>
    </w:p>
    <w:p>
      <w:pPr>
        <w:jc w:val="both"/>
        <w:ind w:left="300" w:right="319" w:firstLine="441"/>
        <w:spacing w:after="0" w:line="271" w:lineRule="auto"/>
        <w:rPr>
          <w:sz w:val="20"/>
          <w:szCs w:val="20"/>
          <w:color w:val="auto"/>
        </w:rPr>
      </w:pPr>
      <w:r>
        <w:rPr>
          <w:rFonts w:ascii="Arial" w:cs="Arial" w:eastAsia="Arial" w:hAnsi="Arial"/>
          <w:sz w:val="18"/>
          <w:szCs w:val="18"/>
          <w:color w:val="auto"/>
        </w:rPr>
        <w:t>We intend to mail the Notice on or about May 4, 2026 to all stockholders of record entitled to vote at the Annual Meeting.</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Will I receive any other proxy materials by mail?</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may send you a proxy card, along with a second notice, on or after May 14,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38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is the format of the Annual Meeting?</w:t>
      </w:r>
    </w:p>
    <w:p>
      <w:pPr>
        <w:spacing w:after="0" w:line="106"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Annual Meeting will be held in a virtual meeting format only, via the internet, with no physical in-person meeting. A summary of the information you need to attend the Annual Meeting online is provided below:</w:t>
      </w:r>
    </w:p>
    <w:p>
      <w:pPr>
        <w:spacing w:after="0" w:line="61" w:lineRule="exact"/>
        <w:rPr>
          <w:sz w:val="20"/>
          <w:szCs w:val="20"/>
          <w:color w:val="auto"/>
        </w:rPr>
      </w:pPr>
    </w:p>
    <w:p>
      <w:pPr>
        <w:jc w:val="both"/>
        <w:ind w:left="1180" w:right="299" w:hanging="448"/>
        <w:spacing w:after="0" w:line="242" w:lineRule="auto"/>
        <w:tabs>
          <w:tab w:leader="none" w:pos="11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To participate, vote or submit questions during the Annual Meeting via live webcast, you must register in advance at www.proxydocs.com/SPRY prior to the deadline of Tuesday, June 23, 2026 at 5:00 p.m. Eastern Time and provide the control number as set forth in the Notice, or proxy card, or voting instruction form at www.proxydocs.com/SPRY. Upon completing your registration, you will receive further instructions via email, including unique links to access the Annual Meeting and to submit questions in advance of the Annual Meeting.</w:t>
      </w:r>
    </w:p>
    <w:p>
      <w:pPr>
        <w:spacing w:after="0" w:line="69"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Any stockholder may listen to the Annual Meeting and participate live via webcast at www.proxydocs.com/SPRY. The webcast will begin at 7:30 a.m. Pacific Time on June 24, 2026.</w:t>
      </w:r>
    </w:p>
    <w:p>
      <w:pPr>
        <w:spacing w:after="0" w:line="62"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may vote and submit questions during the Annual Meeting via live webcast.</w:t>
      </w:r>
    </w:p>
    <w:p>
      <w:pPr>
        <w:spacing w:after="0" w:line="116" w:lineRule="exact"/>
        <w:rPr>
          <w:rFonts w:ascii="Times New Roman" w:cs="Times New Roman" w:eastAsia="Times New Roman" w:hAnsi="Times New Roman"/>
          <w:sz w:val="18"/>
          <w:szCs w:val="18"/>
          <w:color w:val="auto"/>
        </w:rPr>
      </w:pPr>
    </w:p>
    <w:p>
      <w:pPr>
        <w:jc w:val="both"/>
        <w:ind w:left="1180" w:right="299" w:hanging="448"/>
        <w:spacing w:after="0" w:line="246" w:lineRule="auto"/>
        <w:tabs>
          <w:tab w:leader="none" w:pos="11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To enter the meeting, please have your control number which is available on your Notice, your proxy card or the instructions that accompanied your proxy materials. If you do not have your control number, you will be able to listen to the meeting only and you will not be able to vote or submit questions during the meeting.</w:t>
      </w:r>
    </w:p>
    <w:p>
      <w:pPr>
        <w:spacing w:after="0" w:line="68"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Instructions on how to connect to and participate in the Annual Meeting via the internet, including how to demonstrate proof of stock ownership, are posted at www.proxydocs.com/SPRY.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do not intend to post questions received during the Annual Meeting on our website.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Can I attend the Annual Meeting?</w:t>
      </w:r>
    </w:p>
    <w:p>
      <w:pPr>
        <w:spacing w:after="0" w:line="106" w:lineRule="exact"/>
        <w:rPr>
          <w:sz w:val="20"/>
          <w:szCs w:val="20"/>
          <w:color w:val="auto"/>
        </w:rPr>
      </w:pPr>
    </w:p>
    <w:p>
      <w:pPr>
        <w:jc w:val="both"/>
        <w:ind w:left="300" w:right="299" w:firstLine="441"/>
        <w:spacing w:after="0" w:line="241" w:lineRule="auto"/>
        <w:rPr>
          <w:sz w:val="20"/>
          <w:szCs w:val="20"/>
          <w:color w:val="auto"/>
        </w:rPr>
      </w:pPr>
      <w:r>
        <w:rPr>
          <w:rFonts w:ascii="Arial" w:cs="Arial" w:eastAsia="Arial" w:hAnsi="Arial"/>
          <w:sz w:val="18"/>
          <w:szCs w:val="18"/>
          <w:color w:val="auto"/>
        </w:rPr>
        <w:t xml:space="preserve">We will be hosting the Annual Meeting via live webcast on the internet. </w:t>
      </w:r>
      <w:r>
        <w:rPr>
          <w:rFonts w:ascii="Arial" w:cs="Arial" w:eastAsia="Arial" w:hAnsi="Arial"/>
          <w:sz w:val="18"/>
          <w:szCs w:val="18"/>
          <w:b w:val="1"/>
          <w:bCs w:val="1"/>
          <w:color w:val="auto"/>
        </w:rPr>
        <w:t>You will not be able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attend the Annual Meeting in person. </w:t>
      </w:r>
      <w:r>
        <w:rPr>
          <w:rFonts w:ascii="Arial" w:cs="Arial" w:eastAsia="Arial" w:hAnsi="Arial"/>
          <w:sz w:val="18"/>
          <w:szCs w:val="18"/>
          <w:color w:val="auto"/>
        </w:rPr>
        <w:t>Any stockholder can listen to and participate in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live via the internet at www.proxydocs.com/SPRY. </w:t>
      </w:r>
      <w:r>
        <w:rPr>
          <w:rFonts w:ascii="Arial" w:cs="Arial" w:eastAsia="Arial" w:hAnsi="Arial"/>
          <w:sz w:val="18"/>
          <w:szCs w:val="18"/>
          <w:b w:val="1"/>
          <w:bCs w:val="1"/>
          <w:color w:val="auto"/>
        </w:rPr>
        <w:t>The webcast will start at 7:30 a.m. Pacific</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Time on June 24, 2026. Stockholders may vote and submit questions while connected to the Annual Meeting on the internet.</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Why are we holding a virtual Annual Meeting?</w:t>
      </w:r>
    </w:p>
    <w:p>
      <w:pPr>
        <w:spacing w:after="0" w:line="106"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We have implemented a virtual format for our Annual Meeting, which will be conducted via live audio webcast and online stockholder tools. We believe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Annual Meeting, we may answer questions submitted during the Annual Meeting and address those asked in advance, to the extent relevant to the business of the Annual Meeting, as time permits. We do not intend to post questions received during the Annual Meeting on our website.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do I need to be able to participate in the Annual Meeting online?</w:t>
      </w:r>
    </w:p>
    <w:p>
      <w:pPr>
        <w:spacing w:after="0" w:line="106"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To attend the Annual Meeting, you must visit www.proxydocs.com/SPRY. Upon entry of your control number and other required information, you will receive further instructions via email, that provides you access to the Annual Meeting and to vote and submit questions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both"/>
        <w:ind w:left="300" w:right="299" w:firstLine="441"/>
        <w:spacing w:after="0" w:line="247" w:lineRule="auto"/>
        <w:rPr>
          <w:sz w:val="20"/>
          <w:szCs w:val="20"/>
          <w:color w:val="auto"/>
        </w:rPr>
      </w:pPr>
      <w:r>
        <w:rPr>
          <w:rFonts w:ascii="Arial" w:cs="Arial" w:eastAsia="Arial" w:hAnsi="Arial"/>
          <w:sz w:val="18"/>
          <w:szCs w:val="18"/>
          <w:color w:val="auto"/>
        </w:rPr>
        <w:t>As part of the attendance process, you must enter the control number located on your proxy card, voting instruction form, or Notice. If you are a beneficial owner of shares registered in the name of a broker, bank, or other nominee, you may also need to provide the registered name on your account and the name of your broker, bank, or other nominee as part of the attendance process.</w:t>
      </w:r>
    </w:p>
    <w:p>
      <w:pPr>
        <w:spacing w:after="0" w:line="174"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On the day of the Annual Meeting, June 24, 2026, stockholders may begin to log in to the virtual-only Annual Meeting 15 minutes prior to the Annual Meeting. The Annual Meeting will begin promptly at 7:30 a.m. Pacific Time.</w:t>
      </w:r>
    </w:p>
    <w:p>
      <w:pPr>
        <w:spacing w:after="0" w:line="169"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Should you encounter any difficulties accessing the virtual-only Annual Meeting platform, including any difficulties voting or submitting questions, we will have technicians ready to assist you. Please utilize the link on the meeting portal website titled “Having trouble? Please view the Meeting Access FAQs Guide”, this will have many FAQs as well as a technical support number that can be called before or during the meeting.</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Who can vote at the Annual Meeting?</w:t>
      </w:r>
    </w:p>
    <w:p>
      <w:pPr>
        <w:spacing w:after="0" w:line="106"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Only stockholders of record at the close of business on April 27, 2026 will be entitled to vote at the Annual Meeting. On this record date, there were 99,300,658 shares of common stock outstanding and entitled to vote. A list of our stockholders of record will be open for examination by any stockholder for the ten days ending the day prior to the Annual Meeting at our headquarters located at 11682 El Camino Real, Suite 300, San Diego, California 92130. If you would like to view the list, please contact our Corporate Secretary to schedule an appointment by calling (858) 771-9307 or writing to them at the address above.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10"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If on April 27, 2026 your shares were registered directly in your name with the Company’s transfer agent, Equiniti Trust Company, LLC, then you are a stockholder of record. As a stockholder of record, you may vote online at the Annual Meeting or vote by proxy. Whether or not you plan to attend the Annual Meeting, we urge you to fill out and return the proxy card that may be mailed to you, or vote by proxy over the telephone or on the internet as instructed below, to ensure your vote is counted.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10"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If on April 27,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brokerage firm, bank, dealer, or other similar organization.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 w:name="page12"/>
    <w:bookmarkEnd w:id="11"/>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am I voting on?</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are four matters scheduled for a vote:</w:t>
      </w:r>
    </w:p>
    <w:p>
      <w:pPr>
        <w:spacing w:after="0" w:line="104" w:lineRule="exact"/>
        <w:rPr>
          <w:sz w:val="20"/>
          <w:szCs w:val="20"/>
          <w:color w:val="auto"/>
        </w:rPr>
      </w:pPr>
    </w:p>
    <w:p>
      <w:pPr>
        <w:jc w:val="both"/>
        <w:ind w:left="1180" w:right="319" w:hanging="448"/>
        <w:spacing w:after="0" w:line="252"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Proposal 1—To elect our Board of Director’s three nominees for Class III director named in this proxy statement to serve for three-year terms until the 2029 Annual Meeting of Stockholders.</w:t>
      </w:r>
    </w:p>
    <w:p>
      <w:pPr>
        <w:spacing w:after="0" w:line="62"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Proposal 2—To ratify the selection by the Audit Committee of the Board of Directors of Ernst &amp; Young LLP as our independent registered public accounting firm for our fiscal year ending December 31, 2026.</w:t>
      </w:r>
    </w:p>
    <w:p>
      <w:pPr>
        <w:spacing w:after="0" w:line="62"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Proposal 3—To approve, on an advisory basis, the compensation of the Company’s named executive officers, as disclosed in this proxy statement.</w:t>
      </w:r>
    </w:p>
    <w:p>
      <w:pPr>
        <w:spacing w:after="0" w:line="4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Proposal 4—To indicate, on an advisory basis, the preferred frequency of stockholder advisory votes on the compensation of the Company’s named executive officers.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if another matter is properly brought before the Annual Meeting?</w:t>
      </w:r>
    </w:p>
    <w:p>
      <w:pPr>
        <w:spacing w:after="0" w:line="106"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proxy to vote on those matters in accordance with their best judgment. Discretionary authority for them to do so is provided in the proxy card or other form of proxy.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38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How do I vote?</w:t>
      </w:r>
    </w:p>
    <w:p>
      <w:pPr>
        <w:spacing w:after="0" w:line="106"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For the election of directors, you may either vote “For” all of the nominees to the Board of Directors or you may “Withhold” your vote for any nominee you specify. For Proposals 2 and 3, you may vote “For” or “Against” or you may abstain from voting. For Proposal 4, the advisory vote on how frequently we should solicit stockholder advisory approval of executive compensation, you may vote for any one of the following: “One Year,” “Two Years,” or “Three Years,” or you may abstain from voting on that matter. The procedures for voting are as follows: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02"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If you are a stockholder of record, you may vote online at the Annual Meeting, vote by proxy over the telephone, vote by proxy through the internet, or vote by proxy using the proxy card that you may request or that we may elect to deliver at a later time. Whether or not you plan to attend the Annual Meeting, we urge you to vote by proxy to ensure your vote is counted. You may still attend the Annual Meeting and vote even if you have already voted by proxy.</w:t>
      </w:r>
    </w:p>
    <w:p>
      <w:pPr>
        <w:spacing w:after="0" w:line="68" w:lineRule="exact"/>
        <w:rPr>
          <w:sz w:val="20"/>
          <w:szCs w:val="20"/>
          <w:color w:val="auto"/>
        </w:rPr>
      </w:pPr>
    </w:p>
    <w:p>
      <w:pPr>
        <w:jc w:val="both"/>
        <w:ind w:left="940" w:right="319" w:hanging="324"/>
        <w:spacing w:after="0" w:line="246" w:lineRule="auto"/>
        <w:tabs>
          <w:tab w:leader="none" w:pos="9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To vote online during the Annual Meeting, follow the instructions posted at www.proxydocs.com/SPRY. You must register in advance at www.proxydocs.com/SPRY prior to the deadline of Tuesday, June 23, 2026 at 5:00 p.m. Eastern Time to be able to vote during the Annual Meeting.</w:t>
      </w:r>
    </w:p>
    <w:p>
      <w:pPr>
        <w:spacing w:after="0" w:line="68" w:lineRule="exact"/>
        <w:rPr>
          <w:rFonts w:ascii="Times New Roman" w:cs="Times New Roman" w:eastAsia="Times New Roman" w:hAnsi="Times New Roman"/>
          <w:sz w:val="18"/>
          <w:szCs w:val="18"/>
          <w:color w:val="auto"/>
        </w:rPr>
      </w:pPr>
    </w:p>
    <w:p>
      <w:pPr>
        <w:jc w:val="both"/>
        <w:ind w:left="940" w:right="299" w:hanging="324"/>
        <w:spacing w:after="0" w:line="246" w:lineRule="auto"/>
        <w:tabs>
          <w:tab w:leader="none" w:pos="9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To vote over the telephone, dial toll-free +1 (866) 895-6926 using a touch-tone phone and follow the recorded instructions. You will be asked to provide the company number and control number from the Notice or the proxy card that we may deliver. Your telephone vote must be received by 7:30 a.m. Pacific Time on June 24, 2026 to be counted.</w:t>
      </w:r>
    </w:p>
    <w:p>
      <w:pPr>
        <w:spacing w:after="0" w:line="68" w:lineRule="exact"/>
        <w:rPr>
          <w:rFonts w:ascii="Times New Roman" w:cs="Times New Roman" w:eastAsia="Times New Roman" w:hAnsi="Times New Roman"/>
          <w:sz w:val="18"/>
          <w:szCs w:val="18"/>
          <w:color w:val="auto"/>
        </w:rPr>
      </w:pPr>
    </w:p>
    <w:p>
      <w:pPr>
        <w:jc w:val="both"/>
        <w:ind w:left="940" w:right="299" w:hanging="324"/>
        <w:spacing w:after="0" w:line="246" w:lineRule="auto"/>
        <w:tabs>
          <w:tab w:leader="none" w:pos="9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To vote through the internet, go to www.proxypush.com/SPRY to complete an electronic proxy card. You will be asked to provide the company number and control number from the Notice or the proxy card that we may deliver. Your internet vote must be received by 7:30 a.m. Pacific Time on June 24, 2026 to be counted.</w:t>
      </w:r>
    </w:p>
    <w:p>
      <w:pPr>
        <w:spacing w:after="0" w:line="68" w:lineRule="exact"/>
        <w:rPr>
          <w:rFonts w:ascii="Times New Roman" w:cs="Times New Roman" w:eastAsia="Times New Roman" w:hAnsi="Times New Roman"/>
          <w:sz w:val="18"/>
          <w:szCs w:val="18"/>
          <w:color w:val="auto"/>
        </w:rPr>
      </w:pPr>
    </w:p>
    <w:p>
      <w:pPr>
        <w:jc w:val="both"/>
        <w:ind w:left="940" w:right="319" w:hanging="324"/>
        <w:spacing w:after="0" w:line="252" w:lineRule="auto"/>
        <w:tabs>
          <w:tab w:leader="none" w:pos="9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To vote using the proxy card, simply complete, sign and date the proxy card that may be delivered to you and return it promptly in the envelope provided. If you return your signed proxy card to us before the Annual Meeting, we will vote your shares as you direct.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02"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Notice containing voting instructions from that organization rather than from ARS Pharma. Simply follow the voting instructions in the Notice to ensure that your vote is counted. Alternatively, you may vote by telephone or over the internet as instructed by your broker, bank, or other agent. To vote online at the Annual Meeting, you must obtain a valid proxy from your broker, bank, or other agent. Follow the instructions from your broker, bank, or other agent included with these proxy materials, or contact that organization to request a proxy form.</w:t>
      </w:r>
    </w:p>
    <w:p>
      <w:pPr>
        <w:spacing w:after="0" w:line="185" w:lineRule="exact"/>
        <w:rPr>
          <w:sz w:val="20"/>
          <w:szCs w:val="20"/>
          <w:color w:val="auto"/>
        </w:rPr>
      </w:pPr>
    </w:p>
    <w:p>
      <w:pPr>
        <w:jc w:val="both"/>
        <w:ind w:left="300" w:right="299"/>
        <w:spacing w:after="0" w:line="250" w:lineRule="auto"/>
        <w:rPr>
          <w:sz w:val="20"/>
          <w:szCs w:val="20"/>
          <w:color w:val="auto"/>
        </w:rPr>
      </w:pPr>
      <w:r>
        <w:rPr>
          <w:rFonts w:ascii="Arial" w:cs="Arial" w:eastAsia="Arial" w:hAnsi="Arial"/>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How many votes do I have?</w:t>
      </w:r>
    </w:p>
    <w:p>
      <w:pPr>
        <w:spacing w:after="0" w:line="106" w:lineRule="exact"/>
        <w:rPr>
          <w:sz w:val="20"/>
          <w:szCs w:val="20"/>
          <w:color w:val="auto"/>
        </w:rPr>
      </w:pPr>
    </w:p>
    <w:p>
      <w:pPr>
        <w:jc w:val="both"/>
        <w:ind w:left="300" w:right="319" w:firstLine="441"/>
        <w:spacing w:after="0" w:line="271" w:lineRule="auto"/>
        <w:rPr>
          <w:sz w:val="20"/>
          <w:szCs w:val="20"/>
          <w:color w:val="auto"/>
        </w:rPr>
      </w:pPr>
      <w:r>
        <w:rPr>
          <w:rFonts w:ascii="Arial" w:cs="Arial" w:eastAsia="Arial" w:hAnsi="Arial"/>
          <w:sz w:val="18"/>
          <w:szCs w:val="18"/>
          <w:color w:val="auto"/>
        </w:rPr>
        <w:t>On each matter to be voted upon, you have one vote for each share of common stock you own as of April 27,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happens if I do not vote?</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02" w:lineRule="exact"/>
        <w:rPr>
          <w:sz w:val="20"/>
          <w:szCs w:val="20"/>
          <w:color w:val="auto"/>
        </w:rPr>
      </w:pPr>
    </w:p>
    <w:p>
      <w:pPr>
        <w:jc w:val="both"/>
        <w:ind w:left="300" w:right="299" w:firstLine="441"/>
        <w:spacing w:after="0" w:line="271" w:lineRule="auto"/>
        <w:rPr>
          <w:sz w:val="20"/>
          <w:szCs w:val="20"/>
          <w:color w:val="auto"/>
        </w:rPr>
      </w:pPr>
      <w:r>
        <w:rPr>
          <w:rFonts w:ascii="Arial" w:cs="Arial" w:eastAsia="Arial" w:hAnsi="Arial"/>
          <w:sz w:val="18"/>
          <w:szCs w:val="18"/>
          <w:color w:val="auto"/>
        </w:rPr>
        <w:t>If you are a stockholder of record and do not vote by completing a proxy card, that may be mailed to you, by telephone, through the internet, or at the Annual Meeting, your shares will not be voted.</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02"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without your instructions, your broker or nominee may not vote your shares on Proposals 1, 3, or 4, but may vote your shares on Proposal 2.</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B4B73"/>
        </w:rPr>
        <w:t>What if I return a proxy card or otherwise vote but do not make specific choices?</w:t>
      </w:r>
    </w:p>
    <w:p>
      <w:pPr>
        <w:spacing w:after="0" w:line="117" w:lineRule="exact"/>
        <w:rPr>
          <w:sz w:val="20"/>
          <w:szCs w:val="20"/>
          <w:color w:val="auto"/>
        </w:rPr>
      </w:pPr>
    </w:p>
    <w:p>
      <w:pPr>
        <w:jc w:val="both"/>
        <w:ind w:left="300" w:right="299" w:firstLine="441"/>
        <w:spacing w:after="0" w:line="241"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nominees for director named in this proxy statement, “For” the ratification of the selection by the Audit Committee of the Board of Directors of Ernst</w:t>
      </w:r>
    </w:p>
    <w:p>
      <w:pPr>
        <w:spacing w:after="0" w:line="2" w:lineRule="exact"/>
        <w:rPr>
          <w:sz w:val="20"/>
          <w:szCs w:val="20"/>
          <w:color w:val="auto"/>
        </w:rPr>
      </w:pPr>
    </w:p>
    <w:p>
      <w:pPr>
        <w:jc w:val="both"/>
        <w:ind w:left="300" w:right="299" w:hanging="8"/>
        <w:spacing w:after="0" w:line="236" w:lineRule="auto"/>
        <w:tabs>
          <w:tab w:leader="none" w:pos="485"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Young LLP as our independent registered public accounting firm for our fiscal year ending December 31, 2026, “For” the advisory approval of the compensation of our named executive officers, as disclosed in the proxy statement, and for a “One Year” frequency of holding future Say-on-Pay advisory votes on executive compensation. If any other matter is properly presented at the Annual Meeting, your proxy holder (one of the individuals named on your proxy card or other form of proxy) will vote your shares using his or her best judgment. If no contrary indication is made, shares represented by executed or authenticated proxies will be voted “For” the election of the three nominees named above or, if any nominee becomes unavailable for election as a result of an unexpected occurrence, “For” the election of a substitute nominee designated by our Board of Directors. Each nominee has agreed to serve as a director if elected and we have no reason to believe that any nominee will be unable to serve.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Who is paying for this proxy solicitation?</w:t>
      </w:r>
    </w:p>
    <w:p>
      <w:pPr>
        <w:spacing w:after="0" w:line="106"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does it mean if I receive more than one Notice?</w:t>
      </w:r>
    </w:p>
    <w:p>
      <w:pPr>
        <w:spacing w:after="0" w:line="106"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Can I change my vote after submitting my proxy?</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02" w:lineRule="exact"/>
        <w:rPr>
          <w:sz w:val="20"/>
          <w:szCs w:val="20"/>
          <w:color w:val="auto"/>
        </w:rPr>
      </w:pPr>
    </w:p>
    <w:p>
      <w:pPr>
        <w:ind w:left="300" w:right="299" w:firstLine="441"/>
        <w:spacing w:after="0" w:line="271"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the following ways:</w:t>
      </w:r>
    </w:p>
    <w:p>
      <w:pPr>
        <w:spacing w:after="0" w:line="46" w:lineRule="exact"/>
        <w:rPr>
          <w:sz w:val="20"/>
          <w:szCs w:val="20"/>
          <w:color w:val="auto"/>
        </w:rPr>
      </w:pPr>
    </w:p>
    <w:p>
      <w:pPr>
        <w:ind w:left="1180" w:hanging="448"/>
        <w:spacing w:after="0"/>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may submit another properly completed proxy card with a later date.</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may grant a subsequent proxy by telephone or through the internet.</w:t>
      </w:r>
    </w:p>
    <w:p>
      <w:pPr>
        <w:spacing w:after="0" w:line="116" w:lineRule="exact"/>
        <w:rPr>
          <w:rFonts w:ascii="Times New Roman" w:cs="Times New Roman" w:eastAsia="Times New Roman" w:hAnsi="Times New Roman"/>
          <w:sz w:val="18"/>
          <w:szCs w:val="18"/>
          <w:color w:val="auto"/>
        </w:rPr>
      </w:pPr>
    </w:p>
    <w:p>
      <w:pPr>
        <w:jc w:val="both"/>
        <w:ind w:left="1180" w:right="299" w:hanging="448"/>
        <w:spacing w:after="0" w:line="246" w:lineRule="auto"/>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may send a timely written notice that you are revoking your proxy to our Corporate Secretary at 11682 El Camino Real, Suite 300, San Diego, California 92130. To be timely, a written notice revoking your proxy must be received by 7:30 a.m. Pacific Time on June 24, 2026.</w:t>
      </w:r>
    </w:p>
    <w:p>
      <w:pPr>
        <w:spacing w:after="0" w:line="68"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may attend and vote during the Annual Meeting, which will be hosted via the internet. Simply attending the Annual Meeting will not, by itself, revoke your proxy.</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02" w:lineRule="exact"/>
        <w:rPr>
          <w:sz w:val="20"/>
          <w:szCs w:val="20"/>
          <w:color w:val="auto"/>
        </w:rPr>
      </w:pPr>
    </w:p>
    <w:p>
      <w:pPr>
        <w:jc w:val="both"/>
        <w:ind w:left="300" w:right="299" w:firstLine="441"/>
        <w:spacing w:after="0" w:line="271" w:lineRule="auto"/>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 with respect to changing your vote.</w:t>
      </w:r>
    </w:p>
    <w:p>
      <w:pPr>
        <w:spacing w:after="0" w:line="14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22"/>
          <w:szCs w:val="22"/>
          <w:b w:val="1"/>
          <w:bCs w:val="1"/>
          <w:i w:val="1"/>
          <w:iCs w:val="1"/>
          <w:color w:val="0B4B73"/>
        </w:rPr>
        <w:t>When are stockholder proposals and director nominations due for the 2027 Annual Meeting of Stockholders?</w:t>
      </w:r>
    </w:p>
    <w:p>
      <w:pPr>
        <w:spacing w:after="0" w:line="32"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by January 4, 2027, to the attention of our Corporate Secretary at 11682 El Camino Real, Suite 300, San Diego, California 92130.</w:t>
      </w:r>
    </w:p>
    <w:p>
      <w:pPr>
        <w:spacing w:after="0" w:line="169"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If you wish to submit a proposal (including a director nomination) at the 2027 Annual Meeting of Stockholders that is not to be included in next year’s proxy materials, your written request must be received by our Corporate Secretary between February 24, 2027 and March 26, 2027, provided that, if next year’s annual meeting is advanced more than 30 days prior to or delayed by more than 30 days after the anniversary of this year’s annual meeting, your written request must be received by our Corporate Secretary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You are also advised to review our Amended and Restated Bylaws, which contain additional requirements about advance notice of stockholder proposals and director nominations.</w:t>
      </w:r>
    </w:p>
    <w:p>
      <w:pPr>
        <w:spacing w:after="0" w:line="180"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In addition to satisfying the foregoing requirements and any additional requirements under our Amended and Restated Bylaws, to comply with the universal proxy rules, stockholders who intend to solicit proxies in support of director nominees other than the Company’s nominees must provide notice that sets forth the information required by Rule 14a-19 under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How are votes counted?</w:t>
      </w:r>
    </w:p>
    <w:p>
      <w:pPr>
        <w:spacing w:after="0" w:line="106"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Proposal 1, votes “For,” “Withhold,” and broker non-votes; with respect to Proposals 2 and 3, votes “For” and “Against,” abstentions and, if applicable, broker non-votes; and, with respect to Proposal 4, votes “One Year,” “Two Years” and “Three Years,” abstentions and broker non-votes. Abstentions are not applicable to Proposal 1. Abstentions will be counted towards the vote total for Proposals 2 and 3 and will have the same effect as “Against” votes. Abstentions will be counted towards the vote total for Proposal 4 and will have the same effect of a vote against each of the proposed frequencies. Broker non-votes will be counted towards the presence of a quorum but will not be counted towards the vote total for any proposal.</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are “broker non-votes”?</w:t>
      </w:r>
    </w:p>
    <w:p>
      <w:pPr>
        <w:spacing w:after="0" w:line="106"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w:t>
      </w:r>
    </w:p>
    <w:p>
      <w:pPr>
        <w:spacing w:after="0" w:line="174" w:lineRule="exact"/>
        <w:rPr>
          <w:sz w:val="20"/>
          <w:szCs w:val="20"/>
          <w:color w:val="auto"/>
        </w:rPr>
      </w:pPr>
    </w:p>
    <w:p>
      <w:pPr>
        <w:jc w:val="both"/>
        <w:ind w:left="300" w:right="319"/>
        <w:spacing w:after="0" w:line="250" w:lineRule="auto"/>
        <w:rPr>
          <w:sz w:val="20"/>
          <w:szCs w:val="20"/>
          <w:color w:val="auto"/>
        </w:rPr>
      </w:pPr>
      <w:r>
        <w:rPr>
          <w:rFonts w:ascii="Arial" w:cs="Arial" w:eastAsia="Arial" w:hAnsi="Arial"/>
          <w:sz w:val="18"/>
          <w:szCs w:val="18"/>
          <w:b w:val="1"/>
          <w:b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How many votes are needed to approve each proposal?</w:t>
      </w:r>
    </w:p>
    <w:p>
      <w:pPr>
        <w:spacing w:after="0" w:line="106" w:lineRule="exact"/>
        <w:rPr>
          <w:sz w:val="20"/>
          <w:szCs w:val="20"/>
          <w:color w:val="auto"/>
        </w:rPr>
      </w:pPr>
    </w:p>
    <w:p>
      <w:pPr>
        <w:jc w:val="both"/>
        <w:ind w:left="1180" w:right="299" w:hanging="448"/>
        <w:spacing w:after="0" w:line="246" w:lineRule="auto"/>
        <w:tabs>
          <w:tab w:leader="none" w:pos="1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directors, the three nominees receiving the most “For” votes from the holders of shares present virtually at the Annual Meeting or represented by proxy and entitled to vote on the election of directors will be elected. Only votes “For” will affect the outcome; withhold votes and broker non-votes will have no effect.</w:t>
      </w:r>
    </w:p>
    <w:p>
      <w:pPr>
        <w:spacing w:after="0" w:line="68" w:lineRule="exact"/>
        <w:rPr>
          <w:rFonts w:ascii="Times New Roman" w:cs="Times New Roman" w:eastAsia="Times New Roman" w:hAnsi="Times New Roman"/>
          <w:sz w:val="18"/>
          <w:szCs w:val="18"/>
          <w:color w:val="auto"/>
        </w:rPr>
      </w:pPr>
    </w:p>
    <w:p>
      <w:pPr>
        <w:jc w:val="both"/>
        <w:ind w:left="1180" w:right="299" w:hanging="448"/>
        <w:spacing w:after="0" w:line="242" w:lineRule="auto"/>
        <w:tabs>
          <w:tab w:leader="none" w:pos="1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To be approved, the ratification of the selection by the Audit Committee of the Board of Directors of Ernst &amp; Young LLP as our independent registered public accounting firm for the fiscal year ending December 31, 2026 must receive “For” votes from the holders of a majority of shares present virtually at the Annual Meeting or represented by proxy and entitled to vote on the matter. If you mark your proxy to “Abstain” from voting, it will have the same effect as an “Against” vote. Broker non-votes are not applicable.</w:t>
      </w:r>
    </w:p>
    <w:p>
      <w:pPr>
        <w:spacing w:after="0" w:line="177" w:lineRule="exact"/>
        <w:rPr>
          <w:rFonts w:ascii="Times New Roman" w:cs="Times New Roman" w:eastAsia="Times New Roman" w:hAnsi="Times New Roman"/>
          <w:sz w:val="18"/>
          <w:szCs w:val="18"/>
          <w:color w:val="auto"/>
        </w:rPr>
      </w:pPr>
    </w:p>
    <w:p>
      <w:pPr>
        <w:jc w:val="both"/>
        <w:ind w:left="1180" w:right="299" w:hanging="448"/>
        <w:spacing w:after="0" w:line="239" w:lineRule="auto"/>
        <w:tabs>
          <w:tab w:leader="none" w:pos="1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To be approved on an advisory basis, the vote on the compensation of our named executive officers must receive “For” votes from the holders of a majority of shares present at the Annual Meeting or represented by proxy and entitled to vote on the matter. If you mark your proxy to “Abstain” from voting, it will have the same effect as an “Against” vote. Broker non-votes will have no effect.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78" w:lineRule="exact"/>
        <w:rPr>
          <w:rFonts w:ascii="Times New Roman" w:cs="Times New Roman" w:eastAsia="Times New Roman" w:hAnsi="Times New Roman"/>
          <w:sz w:val="18"/>
          <w:szCs w:val="18"/>
          <w:color w:val="auto"/>
        </w:rPr>
      </w:pPr>
    </w:p>
    <w:p>
      <w:pPr>
        <w:jc w:val="both"/>
        <w:ind w:left="1180" w:right="299" w:hanging="448"/>
        <w:spacing w:after="0" w:line="253" w:lineRule="auto"/>
        <w:tabs>
          <w:tab w:leader="none" w:pos="11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For the advisory vote on the frequency of future advisory stockholder votes to approve the compensation of our named executive officers, to be approved pursuant to our bylaws, a frequency must receive votes from the holders of a majority of shares present at the Annual Meeting or represented by proxy and entitled to vote on the matter. In the event that no frequency receives affirmative votes from the holders of a majority of shares present at the Annual Meeting and entitled to vote on the matter, we will consider the frequency receiving the highest number of votes to be preferred by our stockholders. If you mark your proxy to “Abstain” from voting, it will have the effect of a vote against each of the proposed frequencies. Broker non-votes will have no effect.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What is the quorum requirement?</w:t>
      </w:r>
    </w:p>
    <w:p>
      <w:pPr>
        <w:spacing w:after="0" w:line="106"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 majority of the outstanding shares entitled to vote are present virtually at the Annual Meeting or represented by proxy. On the record date, there were 99,300,658 shares of common stock outstanding and entitled to vote. Thus, the holders of at least 49,650,330 shares of common stock must be present virtually or represented by proxy at the Annual Meeting to have a quorum.</w:t>
      </w:r>
    </w:p>
    <w:p>
      <w:pPr>
        <w:spacing w:after="0" w:line="176"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online at the Annual Meeting. Abstentions and broker non-votes will be counted towards the quorum requirement. If there is no quorum, the holders of a majority of shares present virtually at the Annual Meeting or represented by proxy may adjourn the Annual Meeting to another date.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How can I find out the results of the voting at the Annual Meeting?</w:t>
      </w:r>
    </w:p>
    <w:p>
      <w:pPr>
        <w:spacing w:after="0" w:line="106"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8"/>
          <w:szCs w:val="28"/>
          <w:b w:val="1"/>
          <w:bCs w:val="1"/>
          <w:color w:val="FFFFFF"/>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74295</wp:posOffset>
            </wp:positionV>
            <wp:extent cx="5349240" cy="52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522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301" w:lineRule="exact"/>
        <w:rPr>
          <w:sz w:val="20"/>
          <w:szCs w:val="20"/>
          <w:color w:val="auto"/>
        </w:rPr>
      </w:pPr>
    </w:p>
    <w:p>
      <w:pPr>
        <w:ind w:left="360" w:right="1579"/>
        <w:spacing w:after="0" w:line="281" w:lineRule="auto"/>
        <w:rPr>
          <w:sz w:val="20"/>
          <w:szCs w:val="20"/>
          <w:color w:val="auto"/>
        </w:rPr>
      </w:pPr>
      <w:r>
        <w:rPr>
          <w:rFonts w:ascii="Arial" w:cs="Arial" w:eastAsia="Arial" w:hAnsi="Arial"/>
          <w:sz w:val="18"/>
          <w:szCs w:val="18"/>
          <w:b w:val="1"/>
          <w:bCs w:val="1"/>
          <w:color w:val="FFFFFF"/>
        </w:rPr>
        <w:t>The Board of Directors recommends a vote “FOR” the election of the three class III nominees named below.</w:t>
      </w:r>
    </w:p>
    <w:p>
      <w:pPr>
        <w:spacing w:after="0" w:line="352"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Our Board of Directors is divided into three classes. Each class consists, as nearly as possible, of one-third of the total number of directors, and each class has a three-year term. Vacancies on the Board of Directors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spacing w:after="0" w:line="179"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Our Board of Directors currently consists of ten members. There are three directors in Class III whose term of office expires at the Annual Meeting— Saqib Islam, J.D., Phillip Schneider, and Laura Shawver, Ph.D. —each of whom has been nominated for re-election. Mr. Islam, Mr. Schneider, and Dr. Shawver, each current directors of the Company, were each previously elected by our stockholders and have been recommended for nomination to the Board of Directors at the Annual Meeting by the Nominating and Corporate Governance Committee of the Board of Directors. If elected at the Annual Meeting, each of these nominees for director would serve for a three-year term until our 2029 Annual Meeting of Stockholders, and until their successor is duly elected and qualified, or until their earlier death, resignation or removal. It is our policy to invite directors and nominees for director to attend the Annual Meeting. All of our directors attended the 2025 Annual Meeting of Stockholders.</w:t>
      </w:r>
    </w:p>
    <w:p>
      <w:pPr>
        <w:spacing w:after="0" w:line="180"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color w:val="auto"/>
        </w:rPr>
        <w:t>The Nominating and Corporate Governance Committee seeks to assemble a Board of Directors that, as a whole, possesses the appropriate balance of professional and industry knowledge, financial expertise, and high-level management experience necessary to oversee and direct the Company’s business. The Nominating and Corporate Governance Committee and the Board of Directors also seek to attain diversity and balance among directors of thought, knowledge, experience, capability, skills, viewpoints, and backgrounds. To those ends, the Nominating and Corporate Governance Committee has identified and evaluated nominees in the broader context of the Board of Directors’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of Directors. The brief biographies below include information, as of the date of this proxy statement, regarding the specific and particular experience, qualifications, attributes or skills of each director/nominee that led the Nominating and Corporate Governance Committee to recommend that person as a nominee. However, each of the members of the Nominating and Corporate Governance Committee may have a variety of reasons why he or she believes a particular person would be an appropriate nominee for the Board of Directors, and these views may differ from the views of other members.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both"/>
        <w:ind w:left="300" w:right="299" w:firstLine="441"/>
        <w:spacing w:after="0" w:line="253" w:lineRule="auto"/>
        <w:rPr>
          <w:sz w:val="20"/>
          <w:szCs w:val="20"/>
          <w:color w:val="auto"/>
        </w:rPr>
      </w:pPr>
      <w:r>
        <w:rPr>
          <w:rFonts w:ascii="Arial" w:cs="Arial" w:eastAsia="Arial" w:hAnsi="Arial"/>
          <w:sz w:val="18"/>
          <w:szCs w:val="18"/>
          <w:color w:val="auto"/>
        </w:rPr>
        <w:t>References to “ARS Pharma,” “us,” or “our” in the following biographies and in the biographies under the section titled “Executive Officers” pertaining to time periods before our November 2022 reverse merger with privately held ARS Pharmaceuticals, Inc. refer to privately held ARS Pharmaceuticals, Inc.</w:t>
      </w:r>
    </w:p>
    <w:p>
      <w:pPr>
        <w:spacing w:after="0" w:line="163" w:lineRule="exact"/>
        <w:rPr>
          <w:sz w:val="20"/>
          <w:szCs w:val="20"/>
          <w:color w:val="auto"/>
        </w:rPr>
      </w:pPr>
    </w:p>
    <w:p>
      <w:pPr>
        <w:jc w:val="both"/>
        <w:ind w:left="300" w:right="319"/>
        <w:spacing w:after="0" w:line="295" w:lineRule="auto"/>
        <w:rPr>
          <w:sz w:val="20"/>
          <w:szCs w:val="20"/>
          <w:color w:val="auto"/>
        </w:rPr>
      </w:pPr>
      <w:r>
        <w:rPr>
          <w:rFonts w:ascii="Arial" w:cs="Arial" w:eastAsia="Arial" w:hAnsi="Arial"/>
          <w:sz w:val="25"/>
          <w:szCs w:val="25"/>
          <w:b w:val="1"/>
          <w:bCs w:val="1"/>
          <w:color w:val="0B4B73"/>
        </w:rPr>
        <w:t>Nominees for Election for a Three-year Term Expiring at the 2029 Annual Meeting</w:t>
      </w:r>
    </w:p>
    <w:p>
      <w:pPr>
        <w:spacing w:after="0" w:line="1"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b w:val="1"/>
          <w:bCs w:val="1"/>
          <w:i w:val="1"/>
          <w:iCs w:val="1"/>
          <w:color w:val="auto"/>
        </w:rPr>
        <w:t>Saqib Islam, J.D., 56</w:t>
      </w:r>
      <w:r>
        <w:rPr>
          <w:rFonts w:ascii="Arial" w:cs="Arial" w:eastAsia="Arial" w:hAnsi="Arial"/>
          <w:sz w:val="18"/>
          <w:szCs w:val="18"/>
          <w:color w:val="auto"/>
        </w:rPr>
        <w:t>, has served as a member of our Board of Directors since the closing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in November 2022 and as a member of the Silverback Therapeutics, Inc. board of directors from 2017 to 2022. Mr. Islam also served as the Chief Executive Officer and a member of the board of directors of Springworks Therapeutics, Inc., a clinical-stage biopharmaceutical company focused on developing life-changing medicines for patients with severe rare diseases and cancer, from 2018 to July 2025. In addition, Mr. Islam has also served on the board of directors of Passage Bio, Inc., a genetic medicines company, since March 2019. From 2016 to 2017, Mr. Islam served as Chief Business Officer at Moderna Therapeutics, Inc., a biotechnology company. From 2013 to 2016, Mr. Islam was Executive Vice President, Chief Strategy and Portfolio Officer at Alexion Pharmaceuticals, Inc., a biopharmaceutical company. Prior to joining Alexion, Mr. Islam served in various Managing Director positions at Morgan Stanley and Credit Suisse. Mr. Islam holds a B.A. from McGill University and a J.D. from Columbia Law School.</w:t>
      </w:r>
    </w:p>
    <w:p>
      <w:pPr>
        <w:spacing w:after="0" w:line="183" w:lineRule="exact"/>
        <w:rPr>
          <w:sz w:val="20"/>
          <w:szCs w:val="20"/>
          <w:color w:val="auto"/>
        </w:rPr>
      </w:pPr>
    </w:p>
    <w:p>
      <w:pPr>
        <w:jc w:val="both"/>
        <w:ind w:left="300" w:right="319" w:firstLine="441"/>
        <w:spacing w:after="0" w:line="247" w:lineRule="auto"/>
        <w:rPr>
          <w:sz w:val="20"/>
          <w:szCs w:val="20"/>
          <w:color w:val="auto"/>
        </w:rPr>
      </w:pPr>
      <w:r>
        <w:rPr>
          <w:rFonts w:ascii="Arial" w:cs="Arial" w:eastAsia="Arial" w:hAnsi="Arial"/>
          <w:sz w:val="18"/>
          <w:szCs w:val="18"/>
          <w:color w:val="auto"/>
        </w:rPr>
        <w:t>The Nominating and Corporate Governance Committee and the Board of Directors believe that Mr. Islam’s experience and expertise in operations management and executive leadership at various biopharmaceutical companies provide him with the qualifications and skills to serve as a member of our Board of Directors.</w:t>
      </w:r>
    </w:p>
    <w:p>
      <w:pPr>
        <w:spacing w:after="0" w:line="174"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b w:val="1"/>
          <w:bCs w:val="1"/>
          <w:i w:val="1"/>
          <w:iCs w:val="1"/>
          <w:color w:val="auto"/>
        </w:rPr>
        <w:t>Phillip Schneider, 70</w:t>
      </w:r>
      <w:r>
        <w:rPr>
          <w:rFonts w:ascii="Arial" w:cs="Arial" w:eastAsia="Arial" w:hAnsi="Arial"/>
          <w:sz w:val="18"/>
          <w:szCs w:val="18"/>
          <w:color w:val="auto"/>
        </w:rPr>
        <w:t>, has served as a member of our Board of Directors since May 2019. He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on the board of directors of Longboard Pharmaceuticals, Inc. (Nasdaq: LBPH) from December 2020 to 2024 when it was acquired by H. Lundbeck A/S. Mr. Schneider previously served as a director of Pfenex Inc., a clinical-stage biotechnology products company, from 2014 to October 2020. Prior to that, Mr. Schneider held various positions with IDEC Pharmaceuticals Corporation, a biopharmaceutical company focused on therapies for the treatment of hematologic, and autoimmune diseases, from 1987 to 2003, including Senior Vice President and Chief Financial Officer from 1997 to 2003 and Director of Finance and Administration from 1992 to 1997. Prior to that, Mr. Schneider held various management positions at Syntex Pharmaceuticals Corporation, a pharmaceutical company, from 1985 to 1987, and KPMG LLP, an audit and tax advisory firm, from 1982 to 1984, where he attained his CPA license. Mr. Schneider previously served as a member of the board of directors at Arena Pharmaceuticals, Inc. (Nasdaq: ARNA), a clinical stage pharmaceutical company, from 2008 to 2018, Auspex Pharmaceuticals, Inc. (formerly Nasdaq: ASPX), a biopharmaceutical company, from 2014 until its acquisition by Teva Pharmaceutical Industries Ltd. in 2015, and Gen-Probe, Inc., a biotechnology company, from 2002 until its acquisition by Hologic Inc. in 2012. Mr. Schneider holds a B.S. in Biochemistry from the University of California, Davis and an M.B.A. from the University of Southern California.</w:t>
      </w:r>
    </w:p>
    <w:p>
      <w:pPr>
        <w:spacing w:after="0" w:line="186"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Nominating and Corporate Governance Committee and the Board of Directors believe that Mr. Schneider’s experience in finance and accounting and knowledge of the biotechnology industry provide him with the qualifications and skills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9" w:name="page20"/>
    <w:bookmarkEnd w:id="19"/>
    <w:p>
      <w:pPr>
        <w:jc w:val="both"/>
        <w:ind w:left="300" w:right="299" w:firstLine="441"/>
        <w:spacing w:after="0" w:line="237" w:lineRule="auto"/>
        <w:rPr>
          <w:sz w:val="20"/>
          <w:szCs w:val="20"/>
          <w:color w:val="auto"/>
        </w:rPr>
      </w:pPr>
      <w:r>
        <w:rPr>
          <w:rFonts w:ascii="Arial" w:cs="Arial" w:eastAsia="Arial" w:hAnsi="Arial"/>
          <w:sz w:val="18"/>
          <w:szCs w:val="18"/>
          <w:b w:val="1"/>
          <w:bCs w:val="1"/>
          <w:i w:val="1"/>
          <w:iCs w:val="1"/>
          <w:color w:val="auto"/>
        </w:rPr>
        <w:t>Laura Shawver, Ph.D., 68</w:t>
      </w:r>
      <w:r>
        <w:rPr>
          <w:rFonts w:ascii="Arial" w:cs="Arial" w:eastAsia="Arial" w:hAnsi="Arial"/>
          <w:sz w:val="18"/>
          <w:szCs w:val="18"/>
          <w:color w:val="auto"/>
        </w:rPr>
        <w:t>, has served as a member of our Board of Directors since the closing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merger in November 2022 and as a member of the Silverback Therapeutics, Inc.’s board of directors from April 2020 to November 2022. Dr. Shawver currently serves as a Venture Partner at RA Ventures and most recently served as the President and Chief Executive Officer of Capstan Therapeutics, Inc., a biotechnology company focused on in vivo engineering of cells through targeted lipid nanoparticles from September 2022 through its acquisition by Abbvie in August of 2025. Dr. Shawver also previously served as Silverback Therapeutic Inc.’s Chief Executive Officer from April 2020 through August 2022. Previously, Dr. Shawver served as the President and Chief Executive Officer and as a member of the board of directors of Synthorx, Inc. (formerly Nasdaq: THOR) from 2017 until its acquisition by Sanofi S.A. in January 2020. Dr. Shawver has also served as a member of the board of directors for Relay Therapeutics, Inc. (Nasdaq: RLAY) from 2017 to 2025 and currently serves on the board of directors for several private companies. Prior roles include Chief Executive Officer and Director of Cleave Biosciences, Entrepreneur in Residence for 5AM Ventures, Chief Executive Officer of Phenomix Corp., as well as various positions at SUGEN, Inc. and Berlex Biosciences (formerly Triton Biosciences). Dr. Shawver holds a B.S in microbiology and a Ph.D. in pharmacology, both from the University of Iowa.</w:t>
      </w:r>
    </w:p>
    <w:p>
      <w:pPr>
        <w:spacing w:after="0" w:line="188"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The Nominating and Corporate Governance Committee and the Board of Directors believe that Dr. Shawver’s extensive experience and expertise as both a director and member of the executive leadership teams of biopharmaceutical companies, her background as a scientist and drug developer, and her educational background provide her with the qualifications and skills to serve as a member of our Board of Directors.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Directors Continuing in Office Until the 2027 Annual Meeting</w:t>
      </w:r>
    </w:p>
    <w:p>
      <w:pPr>
        <w:spacing w:after="0" w:line="123"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b w:val="1"/>
          <w:bCs w:val="1"/>
          <w:i w:val="1"/>
          <w:iCs w:val="1"/>
          <w:color w:val="auto"/>
        </w:rPr>
        <w:t>Rajeev Dadoo, Ph.D., 56</w:t>
      </w:r>
      <w:r>
        <w:rPr>
          <w:rFonts w:ascii="Arial" w:cs="Arial" w:eastAsia="Arial" w:hAnsi="Arial"/>
          <w:sz w:val="18"/>
          <w:szCs w:val="18"/>
          <w:color w:val="auto"/>
        </w:rPr>
        <w:t>, has served as a member of our Board of Directors since August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September 2020, Dr. Dadoo has served as a managing partner of SR One Capital Management, L.P. Dr. Dadoo was previously a Partner at S.R. One, Limited, a wholly owned subsidiary of GlaxoSmithKline, which he joined in 2004. He is an alumnus of the Kauffman Fellows Program. His prior roles have included working in the Competitive Excellence group at GlaxoSmithKline, a global healthcare company which engages in the research, development, and manufacture of pharmaceutical medicines, vaccines, and consumer healthcare products, on various global projects and at Genentech, Inc., a biotechnology company, in technology and clinical development. He has also held product development and business development roles at Bio-Rad Laboratories, Inc. (NYSE: BIO), an American developer and manufacturer of specialized technological products for the life science research and clinical diagnostics markets, and Genome Therapeutics Corp., a biotechnology company, respectively. Dr. Dadoo holds a BA degree in Chemistry and Mathematics from Knox College, a Ph.D. in Chemistry from Stanford University, and an M.B.A. from the Wharton School of the University of Pennsylvania.</w:t>
      </w:r>
    </w:p>
    <w:p>
      <w:pPr>
        <w:spacing w:after="0" w:line="180"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Nominating and Corporate Governance Committee and the Board of Directors believe that Dr. Dadoo is qualified to serve on our Board of Directors based on his experience as a venture capitalist in the life sciences industry, his product development experience and his educational background.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 w:name="page21"/>
    <w:bookmarkEnd w:id="20"/>
    <w:p>
      <w:pPr>
        <w:jc w:val="both"/>
        <w:ind w:left="300" w:right="299" w:firstLine="441"/>
        <w:spacing w:after="0" w:line="237" w:lineRule="auto"/>
        <w:rPr>
          <w:sz w:val="20"/>
          <w:szCs w:val="20"/>
          <w:color w:val="auto"/>
        </w:rPr>
      </w:pPr>
      <w:r>
        <w:rPr>
          <w:rFonts w:ascii="Arial" w:cs="Arial" w:eastAsia="Arial" w:hAnsi="Arial"/>
          <w:sz w:val="18"/>
          <w:szCs w:val="18"/>
          <w:b w:val="1"/>
          <w:bCs w:val="1"/>
          <w:i w:val="1"/>
          <w:iCs w:val="1"/>
          <w:color w:val="auto"/>
        </w:rPr>
        <w:t>Michael Kelly, 61</w:t>
      </w:r>
      <w:r>
        <w:rPr>
          <w:rFonts w:ascii="Arial" w:cs="Arial" w:eastAsia="Arial" w:hAnsi="Arial"/>
          <w:sz w:val="18"/>
          <w:szCs w:val="18"/>
          <w:color w:val="auto"/>
        </w:rPr>
        <w:t>, has served as a member of our Board of Directors since May 2019. Mr. Kelly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Chief Executive Officer, President and a member of the Board of Directors of NervGen Pharma Corp. (TSX-V: NGEN; OTCQX: NGENF) a clinical stage biotech company from April 2023 to July 2025. From 2016 to June 2019, Mr. Kelly served as President of U.S. Operations for Adapt Pharma, Inc., which developed and commercialized NARCAN® (naloxone HCl) Nasal Spray. From 2013 to 2016, Mr. Kelly served as the Chief Executive Officer and a director of Covis Pharmaceuticals, Inc., a pharmaceutical company focused on therapeutic solutions for patients with life-threatening conditions and chronic illnesses. Mr. Kelly was also a member of the founding management team of Azur Pharma Limited, a specialty pharmaceutical company, and later, following a strategic merger, served as the Senior Vice President of Sales and Marketing for Jazz Pharmaceuticals plc (Nasdaq: JAZZ), a biopharmaceutical company. Prior to his tenure at Azur Pharma, he served as Vice President of Commercial Operations at Guilford Pharmaceuticals Inc., a biopharmaceutical company, Vice President of Sales and Marketing at ViroPharma Incorporated, biotechnology company dedicated to the development and commercialization of products that address serious diseases, and held various commercial and medical roles at TAP Pharmaceuticals Inc., a pharmaceutical company. Mr. Kelly holds a Bachelor of Science in business administration from The College of New Jersey and a Master of Business Administration from Rider University.</w:t>
      </w:r>
    </w:p>
    <w:p>
      <w:pPr>
        <w:spacing w:after="0" w:line="184"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Nominating and Corporate Governance Committee and the Board of Directors believe that Mr. Kelly is qualified to serve on our Board of Directors based on his over 26 years of experience in the pharmaceutical industry, including as an executive, director and senior manager at several pharmaceutical companies.</w:t>
      </w:r>
    </w:p>
    <w:p>
      <w:pPr>
        <w:spacing w:after="0" w:line="174"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b w:val="1"/>
          <w:bCs w:val="1"/>
          <w:i w:val="1"/>
          <w:iCs w:val="1"/>
          <w:color w:val="auto"/>
        </w:rPr>
        <w:t>Pratik Shah, Ph.D., 56</w:t>
      </w:r>
      <w:r>
        <w:rPr>
          <w:rFonts w:ascii="Arial" w:cs="Arial" w:eastAsia="Arial" w:hAnsi="Arial"/>
          <w:sz w:val="18"/>
          <w:szCs w:val="18"/>
          <w:color w:val="auto"/>
        </w:rPr>
        <w:t>, has served as a member of our Board of Directors since 2016 and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appointed as our Chair in 2018. Dr. Shah has served as the Chief Executive Officer of Design Therapeutics, Inc. (Nasdaq: DSGN), a biotechnology company, since September 2023 and as Design’s Chairman and a member of its board of directors since 2017. Dr. Shah has served as the President of Marlinspike since 2018, and of Marlinspike Group Inc. from 2015 to October 2020. Dr. Shah served as the Chair of the board of directors of Synthorx, Inc. (formerly Nasdaq: THOR), a clinical- stage biotechnology company, from 2018 until its acquisition by Sanofi S.A. in January 2020. Dr. Shah also served as the President and Chief Executive Officer and Chair of the board of directors of Auspex Pharmaceuticals, Inc. (formerly Nasdaq: ASPX), a biopharmaceutical company, from 2013 until its acquisition by Teva Pharmaceutical Industries Ltd. in 2015. From 2004 to 2014, he was a partner at Thomas, McNerney &amp; Partners, a healthcare venture capital firm. Dr. Shah holds a B.S. in Biological Sciences from the University of California at Irvine and a Ph.D. in Biochemistry and Molecular Biology and an M.B.A. in Finance, both from the University of Chicago.</w:t>
      </w:r>
    </w:p>
    <w:p>
      <w:pPr>
        <w:spacing w:after="0" w:line="180"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Nominating and Corporate Governance Committee and the Board of Directors believe that Dr. Shah is qualified to serve on our Board of Directors based on his experience as a director and executive officer of biopharmaceutical companies, his extensive background as venture capitalist in the biopharmaceutical industry and his educational background.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1" w:name="page22"/>
    <w:bookmarkEnd w:id="21"/>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Directors Continuing in Office Until the 2028 Annual Meeting</w:t>
      </w:r>
    </w:p>
    <w:p>
      <w:pPr>
        <w:spacing w:after="0" w:line="123" w:lineRule="exact"/>
        <w:rPr>
          <w:sz w:val="20"/>
          <w:szCs w:val="20"/>
          <w:color w:val="auto"/>
        </w:rPr>
      </w:pPr>
    </w:p>
    <w:p>
      <w:pPr>
        <w:jc w:val="both"/>
        <w:ind w:left="300" w:right="299" w:firstLine="441"/>
        <w:spacing w:after="0" w:line="236" w:lineRule="auto"/>
        <w:rPr>
          <w:sz w:val="20"/>
          <w:szCs w:val="20"/>
          <w:color w:val="auto"/>
        </w:rPr>
      </w:pPr>
      <w:r>
        <w:rPr>
          <w:rFonts w:ascii="Arial" w:cs="Arial" w:eastAsia="Arial" w:hAnsi="Arial"/>
          <w:sz w:val="18"/>
          <w:szCs w:val="18"/>
          <w:b w:val="1"/>
          <w:bCs w:val="1"/>
          <w:i w:val="1"/>
          <w:iCs w:val="1"/>
          <w:color w:val="auto"/>
        </w:rPr>
        <w:t>Richard Lowenthal, M.S., MSEL, 60</w:t>
      </w:r>
      <w:r>
        <w:rPr>
          <w:rFonts w:ascii="Arial" w:cs="Arial" w:eastAsia="Arial" w:hAnsi="Arial"/>
          <w:sz w:val="18"/>
          <w:szCs w:val="18"/>
          <w:color w:val="auto"/>
        </w:rPr>
        <w:t>, is our co-founder and has served as our President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since our inception in 2015. He also served as our Chairman from 2015 through 2018 and has served as our Chief Executive Officer since 2018. Mr. Lowenthal previously served as President of Pacific-Link Regulatory Consulting and Research, Inc., a medicinal product development consultancy founded by Mr. Lowenthal, where he provided leadership and mentoring on clinical development, regulatory affairs, quality assurance, licensing and investment opportunities, including supporting the clinical and regulatory development of Valtoco (diazepam nasal spray). Prior to Pacific-Link Regulatory Consulting and Research, Inc., Mr. Lowenthal held many leadership roles at several biopharmaceutical and pharmaceutical companies that included Chief Executive Officer and President of MTG Biotherapeutics Inc.; Vice President of Regulatory Affairs and quality assurance for Cadence Pharmaceuticals, Inc.; Head of Worldwide Regulatory Affairs, Quality Assurance and Drug Safety for Maxim Pharmaceuticals, Inc.; Vice President of Regulatory Affairs and Quality Assurance for AnGes, MG, Inc.; Global Project Leader and Global Director of Regulatory Affairs for Janssen Research Foundation; Director of Regulatory Affairs and Quality Assurance for Somerset Pharmaceuticals Inc.; and New Drug Review Chemist for the U.S. Food and Drug Administration in the Division of Neuropharmacologic Drug Products and the Division of Oncology and Pulmonary Drug Products. Mr. Lowenthal holds an M.Sc. in organic chemistry from Florida State University and a Master’s in Business Science for Executive Leadership from the University of San Diego. He has served as past chair of the American Association of Pharmaceutical Scientists (San Diego region), as well as member of the USP Biotechnology Expert Committee, Virology Working group, member of the National Organization of Rare Disease Corporate Council and has worked with various PhRMA and ICH Working Groups.</w:t>
      </w:r>
    </w:p>
    <w:p>
      <w:pPr>
        <w:spacing w:after="0" w:line="194"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Nominating and Corporate Governance Committee and the Board of Directors believe that Mr. Lowenthal is qualified to serve on our Board of Directors based on his over 35 years of biotechnology and pharmaceutical development experience, his experience as a founder, director and executive officer of biopharmaceutical companies and his educational background.</w:t>
      </w:r>
    </w:p>
    <w:p>
      <w:pPr>
        <w:spacing w:after="0" w:line="174"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b w:val="1"/>
          <w:bCs w:val="1"/>
          <w:i w:val="1"/>
          <w:iCs w:val="1"/>
          <w:color w:val="auto"/>
        </w:rPr>
        <w:t>Peter Kolchinsky, Ph.D., 49</w:t>
      </w:r>
      <w:r>
        <w:rPr>
          <w:rFonts w:ascii="Arial" w:cs="Arial" w:eastAsia="Arial" w:hAnsi="Arial"/>
          <w:sz w:val="18"/>
          <w:szCs w:val="18"/>
          <w:color w:val="auto"/>
        </w:rPr>
        <w:t>, has served as a member of our Board of Directors since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Dr. Kolchinsky has more than 20 years of experience in healthcare investing and is the Founder of and a Managing Partner at RA Capital Management, L.P (“RA Capital”). RA Capital is a multi-stage investment manager dedicated to evidence-based investing in public and private healthcare and life science companies that are developing drugs, medical devices, diagnostics and research tools. Dr. Kolchinsky has served on the board of directors of WAVE Life Sciences, Ltd. (Nasdaq: WVE), a biotechnology company focused on delivering therapies for patients with serious, genetically-defined diseases, since 2015. Dr. Kolchinsky was previously a member of the board of directors of Dicerna Pharmaceuticals, Inc. (Nasdaq: DRNA), from 2013 to December 2019; Forma Therapeutics Holdings, Inc. (formerly Nasdaq: FMTX), from December 2019 to October 2022; Synthorx, Inc. (formerly Nasdaq: THOR), from 2018 to January 2020 and ICOSAVAX, Inc. (Nasdaq: ICVX), from March 2021 to December 2023, all public pharmaceutical companies. Dr. Kolchinsky also served on the Board of Global Science and Technology for the National Academy of Sciences and is the author of “The Great American Drug Deal” and “The Entrepreneur’s Guide to a Biotech Startup”. He founded the non-profit No Patient Left Behind to advocate for healthcare reforms that would solve affordability and promote continued biomedical innovation. Dr. Kolchinsky holds a BA from Cornell University and a Ph.D. in Virology from Harvard University.</w:t>
      </w:r>
    </w:p>
    <w:p>
      <w:pPr>
        <w:spacing w:after="0" w:line="184"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Nominating and Corporate Governance Committee and the Board of Directors believe that Dr. Kolchinsky is qualified to serve on our Board of Directors based on his experience as an investor in the life sciences sector and as a director of a number of healthcare and life science companies.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jc w:val="both"/>
        <w:ind w:left="300" w:right="299" w:firstLine="441"/>
        <w:spacing w:after="0" w:line="237" w:lineRule="auto"/>
        <w:rPr>
          <w:sz w:val="20"/>
          <w:szCs w:val="20"/>
          <w:color w:val="auto"/>
        </w:rPr>
      </w:pPr>
      <w:r>
        <w:rPr>
          <w:rFonts w:ascii="Arial" w:cs="Arial" w:eastAsia="Arial" w:hAnsi="Arial"/>
          <w:sz w:val="18"/>
          <w:szCs w:val="18"/>
          <w:b w:val="1"/>
          <w:bCs w:val="1"/>
          <w:i w:val="1"/>
          <w:iCs w:val="1"/>
          <w:color w:val="auto"/>
        </w:rPr>
        <w:t>Brenton L. Saunders, 56</w:t>
      </w:r>
      <w:r>
        <w:rPr>
          <w:rFonts w:ascii="Arial" w:cs="Arial" w:eastAsia="Arial" w:hAnsi="Arial"/>
          <w:sz w:val="18"/>
          <w:szCs w:val="18"/>
          <w:color w:val="auto"/>
        </w:rPr>
        <w:t>, has served as a member of our Board of Directors since May 2021.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Saunders is currently Chairman and Chief Executive Officer of Bausch + Lomb Corporation, an eye health products company, having been named to the position in March 2023. He served as Executive Chairman of the board of directors of The Beauty Health Company (Nasdaq: SKIN) (formerly Vesper Healthcare Acquisition Corp.), a beauty health company, from July 2020 to 2023 and now is Chairman of The Beauty Health Company. Mr. Saunders also served as the President and Chief Executive Officer of Vesper Healthcare Acquisition Corp., a special purpose acquisition company, from July 2020 to May 2021. Until its acquisition by AbbVie Inc. (NYSE: ABBV), Mr. Saunders served as Chairman (2016 to May</w:t>
      </w:r>
    </w:p>
    <w:p>
      <w:pPr>
        <w:spacing w:after="0" w:line="3"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2020) and President and Chief Executive Officer (2014 to May 2020) of Allergan plc (formerly NYSE: AGN), a pharmaceutical company that focuses on medical aesthetics, eye care, central nervous system, and gastroenterology. Prior to that, Mr. Saunders served as Chief Executive Officer of Forest Laboratories Inc. (formerly NYSE: FRX), a pharmaceutical company focused on therapeutic areas of the central nervous and cardiovascular systems, a role he held until its merger with Actavis Plc (formerly NYSE: ACT), a global pharmaceutical company focused on acquiring, developing, manufacturing and marketing branded pharmaceuticals, generic and over-the-counter medicines, and biologic products, in 2014. Following the merger with Actavis, Mr. Saunders was named Chief Executive Officer of the combined business in 2015. From 2010 to 2013, Mr. Saunders served as Chief Executive Officer of Bausch + Lomb Incorporated, an eye health products company, until its acquisition by Valeant in 2013. Mr. Saunders currently serves as Chairman of Beauty Health and Roam. He serves as a director for Cambrian BioPharma, Nextech, Arena AI, Rapalogix, Opthalmology Foundation Board, and serves on the Executive Committee of Mt. Sinai Medical Center. Mr. Saunders holds a Bachelor of Arts degree from the University of Pittsburgh, a Juris Doctor degree from the Temple University School of Law, and an M.B.A. from the Temple University School of Business.</w:t>
      </w:r>
    </w:p>
    <w:p>
      <w:pPr>
        <w:spacing w:after="0" w:line="182" w:lineRule="exact"/>
        <w:rPr>
          <w:sz w:val="20"/>
          <w:szCs w:val="20"/>
          <w:color w:val="auto"/>
        </w:rPr>
      </w:pPr>
    </w:p>
    <w:p>
      <w:pPr>
        <w:jc w:val="both"/>
        <w:ind w:left="300" w:right="319" w:firstLine="441"/>
        <w:spacing w:after="0" w:line="247" w:lineRule="auto"/>
        <w:rPr>
          <w:sz w:val="20"/>
          <w:szCs w:val="20"/>
          <w:color w:val="auto"/>
        </w:rPr>
      </w:pPr>
      <w:r>
        <w:rPr>
          <w:rFonts w:ascii="Arial" w:cs="Arial" w:eastAsia="Arial" w:hAnsi="Arial"/>
          <w:sz w:val="18"/>
          <w:szCs w:val="18"/>
          <w:color w:val="auto"/>
        </w:rPr>
        <w:t>The Nominating and Corporate Governance Committee and the Board of Directors believe that Mr. Saunders is qualified to serve on our Board of Directors based on his over 27 years of experience in the healthcare industry, his experience as an executive and director of several prominent global pharmaceutical and healthcare companies.</w:t>
      </w:r>
    </w:p>
    <w:p>
      <w:pPr>
        <w:spacing w:after="0" w:line="174"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b w:val="1"/>
          <w:bCs w:val="1"/>
          <w:i w:val="1"/>
          <w:iCs w:val="1"/>
          <w:color w:val="auto"/>
        </w:rPr>
        <w:t>Peter A. Thompson, M.D., 66</w:t>
      </w:r>
      <w:r>
        <w:rPr>
          <w:rFonts w:ascii="Arial" w:cs="Arial" w:eastAsia="Arial" w:hAnsi="Arial"/>
          <w:sz w:val="18"/>
          <w:szCs w:val="18"/>
          <w:color w:val="auto"/>
        </w:rPr>
        <w:t>, has served as a member of our Board of Directors since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merger in November 2022. Dr. Thompson was a co-founder of Silverback Therapeutics, Inc., served as its Chair from 2016 to November 2022, and as its Chief Executive Officer from 2016 to April 2020. Dr. Thompson is a General Partner of OrbiMed Advisors LLC (“OrbiMed”), an investment firm. Dr. Thompson currently serves on the boards of directors of several public companies including Corvus Pharmaceuticals, Inc. (Nasdaq: CRVS) (since 2014), Edgewise Therapeutics, Inc. (Nasdaq: EWTX) (since 2017), and Sionna Therapeutics (Nasdaq: SION) (since 2022), as well as several private companies. Previously, Dr. Thompson served on the boards of Alpine Immune Sciences Inc. (Nasdaq: ALPN), Decibel Therapeutics, Inc. (Nasdaq: DBTX), Janux Therapeutics, Inc. (Nasdaq: JANX), PMV Pharmaceuticals, Inc. (Nasdaq: PMVP), and Prevail Therapeutics Inc. (Nasdaq: PRVL). Dr. Thompson also previously served in executive leadership roles at Trubion Pharmaceuticals, Inc., Chiron Corporation, and Becton, Dickinson and Company. Dr. Thompson is an Affiliate Professor of Neurosurgery at the University of Washington. In addition, Dr. Thompson holds numerous patents and is a board-certified internist and oncologist. Dr. Thompson holds a Sc. B. in Molecular Biology and Mathematics from Brown University and an M.D. from Brown University Medical School.</w:t>
      </w:r>
    </w:p>
    <w:p>
      <w:pPr>
        <w:spacing w:after="0" w:line="188"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Nominating and Corporate Governance Committee and the Board of Directors believe that Dr. Thompson is qualified to serve on our Board of Directors based on his experience in management and venture capital in the biopharmaceutical industry.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3" w:name="page24"/>
    <w:bookmarkEnd w:id="23"/>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1040130</wp:posOffset>
            </wp:positionV>
            <wp:extent cx="5349240" cy="506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506095"/>
                    </a:xfrm>
                    <a:prstGeom prst="rect">
                      <a:avLst/>
                    </a:prstGeom>
                    <a:noFill/>
                  </pic:spPr>
                </pic:pic>
              </a:graphicData>
            </a:graphic>
          </wp:anchor>
        </w:drawing>
      </w:r>
    </w:p>
    <w:p>
      <w:pPr>
        <w:ind w:left="360" w:right="1479"/>
        <w:spacing w:after="0" w:line="288" w:lineRule="auto"/>
        <w:rPr>
          <w:sz w:val="20"/>
          <w:szCs w:val="20"/>
          <w:color w:val="auto"/>
        </w:rPr>
      </w:pPr>
      <w:r>
        <w:rPr>
          <w:rFonts w:ascii="Arial" w:cs="Arial" w:eastAsia="Arial" w:hAnsi="Arial"/>
          <w:sz w:val="29"/>
          <w:szCs w:val="29"/>
          <w:b w:val="1"/>
          <w:bCs w:val="1"/>
          <w:color w:val="FFFFFF"/>
        </w:rPr>
        <w:t>Proposal 2—Ratification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52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522605"/>
                    </a:xfrm>
                    <a:prstGeom prst="rect">
                      <a:avLst/>
                    </a:prstGeom>
                    <a:noFill/>
                  </pic:spPr>
                </pic:pic>
              </a:graphicData>
            </a:graphic>
          </wp:anchor>
        </w:drawing>
      </w:r>
    </w:p>
    <w:p>
      <w:pPr>
        <w:spacing w:after="0" w:line="140" w:lineRule="exact"/>
        <w:rPr>
          <w:sz w:val="20"/>
          <w:szCs w:val="20"/>
          <w:color w:val="auto"/>
        </w:rPr>
      </w:pPr>
    </w:p>
    <w:p>
      <w:pPr>
        <w:ind w:left="360" w:right="1359"/>
        <w:spacing w:after="0" w:line="311" w:lineRule="auto"/>
        <w:rPr>
          <w:sz w:val="20"/>
          <w:szCs w:val="20"/>
          <w:color w:val="auto"/>
        </w:rPr>
      </w:pPr>
      <w:r>
        <w:rPr>
          <w:rFonts w:ascii="Arial" w:cs="Arial" w:eastAsia="Arial" w:hAnsi="Arial"/>
          <w:sz w:val="17"/>
          <w:szCs w:val="17"/>
          <w:b w:val="1"/>
          <w:bCs w:val="1"/>
          <w:color w:val="FFFFFF"/>
        </w:rPr>
        <w:t>The Board of Directors recommends a vote “FOR” the ratification of the selection of Ernst &amp; Young LLP as the Company’s independent registered public accounting firm.</w:t>
      </w:r>
    </w:p>
    <w:p>
      <w:pPr>
        <w:spacing w:after="0" w:line="330"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Audit Committee has selected Ernst &amp; Young LLP as our independent registered public accounting firm for the fiscal year ending December 31, 2026 and has further directed that management submit the selection of independent registered public accounting firm for ratification by the stockholders at the Annual Meeting.</w:t>
      </w:r>
    </w:p>
    <w:p>
      <w:pPr>
        <w:spacing w:after="0" w:line="174"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Representatives of Ernst &amp; Young LLP are expected to be present virtually at the Annual Meeting. They will have an opportunity to make a statement if they so desire and will be available to respond to appropriate questions.</w:t>
      </w:r>
    </w:p>
    <w:p>
      <w:pPr>
        <w:spacing w:after="0" w:line="169"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Neither our Amended and Restated Bylaws nor other governing documents or law require stockholder ratification of the selection of Ernst &amp; Young LLP as our independent registered public accounting firm. However, the Audit Committee is submitting the selection of Ernst &amp; Young LLP to the stockholders for ratification as a matter of good corporate practice. If the stockholders fail to ratify the selection, the Audit Committee will reconsider whether to retain that firm. Even if the selection is ratified, the Audit Committee in its discretion may direct the appointment of different independent auditors at any time during the year if they determine that such a change would be in our best interests and the best interests of our stockholders.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Principal Accountant Fees and Services</w:t>
      </w:r>
    </w:p>
    <w:p>
      <w:pPr>
        <w:spacing w:after="0" w:line="123" w:lineRule="exact"/>
        <w:rPr>
          <w:sz w:val="20"/>
          <w:szCs w:val="20"/>
          <w:color w:val="auto"/>
        </w:rPr>
      </w:pPr>
    </w:p>
    <w:p>
      <w:pPr>
        <w:jc w:val="both"/>
        <w:ind w:left="300" w:right="319" w:firstLine="441"/>
        <w:spacing w:after="0" w:line="247" w:lineRule="auto"/>
        <w:rPr>
          <w:sz w:val="20"/>
          <w:szCs w:val="20"/>
          <w:color w:val="auto"/>
        </w:rPr>
      </w:pPr>
      <w:r>
        <w:rPr>
          <w:rFonts w:ascii="Arial" w:cs="Arial" w:eastAsia="Arial" w:hAnsi="Arial"/>
          <w:sz w:val="18"/>
          <w:szCs w:val="18"/>
          <w:color w:val="auto"/>
        </w:rPr>
        <w:t>The following table shows the aggregate fees for services provided for the fiscal years ended December 31, 2025 and 2024, by Ernst &amp; Young LLP. Ernst &amp; Young LLP has served as our independent registered public accounting firm since 2020 and ARS Pharmaceuticals Operations, Inc. (“Private ARS Pharma”) since 2019. All fees described below were pre-approved by the Audit Committee.</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9"/>
        </w:trPr>
        <w:tc>
          <w:tcPr>
            <w:tcW w:w="5600" w:type="dxa"/>
            <w:vAlign w:val="bottom"/>
            <w:shd w:val="clear" w:color="auto" w:fill="0B4B73"/>
          </w:tcPr>
          <w:p>
            <w:pPr>
              <w:spacing w:after="0"/>
              <w:rPr>
                <w:sz w:val="14"/>
                <w:szCs w:val="14"/>
                <w:color w:val="auto"/>
              </w:rPr>
            </w:pPr>
          </w:p>
        </w:tc>
        <w:tc>
          <w:tcPr>
            <w:tcW w:w="140" w:type="dxa"/>
            <w:vAlign w:val="bottom"/>
            <w:shd w:val="clear" w:color="auto" w:fill="0B4B73"/>
          </w:tcPr>
          <w:p>
            <w:pPr>
              <w:spacing w:after="0"/>
              <w:rPr>
                <w:sz w:val="14"/>
                <w:szCs w:val="14"/>
                <w:color w:val="auto"/>
              </w:rPr>
            </w:pPr>
          </w:p>
        </w:tc>
        <w:tc>
          <w:tcPr>
            <w:tcW w:w="240" w:type="dxa"/>
            <w:vAlign w:val="bottom"/>
            <w:shd w:val="clear" w:color="auto" w:fill="0B4B73"/>
          </w:tcPr>
          <w:p>
            <w:pPr>
              <w:spacing w:after="0"/>
              <w:rPr>
                <w:sz w:val="14"/>
                <w:szCs w:val="14"/>
                <w:color w:val="auto"/>
              </w:rPr>
            </w:pPr>
          </w:p>
        </w:tc>
        <w:tc>
          <w:tcPr>
            <w:tcW w:w="2440" w:type="dxa"/>
            <w:vAlign w:val="bottom"/>
            <w:gridSpan w:val="4"/>
            <w:shd w:val="clear" w:color="auto" w:fill="0B4B73"/>
          </w:tcPr>
          <w:p>
            <w:pPr>
              <w:jc w:val="right"/>
              <w:ind w:right="381"/>
              <w:spacing w:after="0"/>
              <w:rPr>
                <w:sz w:val="20"/>
                <w:szCs w:val="20"/>
                <w:color w:val="auto"/>
              </w:rPr>
            </w:pPr>
            <w:r>
              <w:rPr>
                <w:rFonts w:ascii="Arial" w:cs="Arial" w:eastAsia="Arial" w:hAnsi="Arial"/>
                <w:sz w:val="14"/>
                <w:szCs w:val="14"/>
                <w:b w:val="1"/>
                <w:bCs w:val="1"/>
                <w:color w:val="FFFFFF"/>
              </w:rPr>
              <w:t>Years Ended December 31,</w:t>
            </w:r>
          </w:p>
        </w:tc>
      </w:tr>
      <w:tr>
        <w:trPr>
          <w:trHeight w:val="189"/>
        </w:trPr>
        <w:tc>
          <w:tcPr>
            <w:tcW w:w="5600" w:type="dxa"/>
            <w:vAlign w:val="bottom"/>
            <w:tcBorders>
              <w:bottom w:val="single" w:sz="8" w:color="C3D041"/>
            </w:tcBorders>
            <w:shd w:val="clear" w:color="auto" w:fill="0B4B73"/>
          </w:tcPr>
          <w:p>
            <w:pPr>
              <w:spacing w:after="0"/>
              <w:rPr>
                <w:sz w:val="16"/>
                <w:szCs w:val="16"/>
                <w:color w:val="auto"/>
              </w:rPr>
            </w:pPr>
          </w:p>
        </w:tc>
        <w:tc>
          <w:tcPr>
            <w:tcW w:w="140" w:type="dxa"/>
            <w:vAlign w:val="bottom"/>
            <w:tcBorders>
              <w:bottom w:val="single" w:sz="8" w:color="C3D041"/>
            </w:tcBorders>
            <w:shd w:val="clear" w:color="auto" w:fill="0B4B73"/>
          </w:tcPr>
          <w:p>
            <w:pPr>
              <w:spacing w:after="0"/>
              <w:rPr>
                <w:sz w:val="16"/>
                <w:szCs w:val="16"/>
                <w:color w:val="auto"/>
              </w:rPr>
            </w:pPr>
          </w:p>
        </w:tc>
        <w:tc>
          <w:tcPr>
            <w:tcW w:w="240" w:type="dxa"/>
            <w:vAlign w:val="bottom"/>
            <w:tcBorders>
              <w:bottom w:val="single" w:sz="8" w:color="C3D041"/>
            </w:tcBorders>
            <w:shd w:val="clear" w:color="auto" w:fill="0B4B73"/>
          </w:tcPr>
          <w:p>
            <w:pPr>
              <w:spacing w:after="0"/>
              <w:rPr>
                <w:sz w:val="16"/>
                <w:szCs w:val="16"/>
                <w:color w:val="auto"/>
              </w:rPr>
            </w:pPr>
          </w:p>
        </w:tc>
        <w:tc>
          <w:tcPr>
            <w:tcW w:w="1040" w:type="dxa"/>
            <w:vAlign w:val="bottom"/>
            <w:tcBorders>
              <w:bottom w:val="single" w:sz="8" w:color="C3D041"/>
            </w:tcBorders>
            <w:shd w:val="clear" w:color="auto" w:fill="0B4B73"/>
          </w:tcPr>
          <w:p>
            <w:pPr>
              <w:jc w:val="right"/>
              <w:ind w:right="443"/>
              <w:spacing w:after="0"/>
              <w:rPr>
                <w:sz w:val="20"/>
                <w:szCs w:val="20"/>
                <w:color w:val="auto"/>
              </w:rPr>
            </w:pPr>
            <w:r>
              <w:rPr>
                <w:rFonts w:ascii="Arial" w:cs="Arial" w:eastAsia="Arial" w:hAnsi="Arial"/>
                <w:sz w:val="14"/>
                <w:szCs w:val="14"/>
                <w:b w:val="1"/>
                <w:bCs w:val="1"/>
                <w:color w:val="FFFFFF"/>
              </w:rPr>
              <w:t>2025</w:t>
            </w:r>
          </w:p>
        </w:tc>
        <w:tc>
          <w:tcPr>
            <w:tcW w:w="120" w:type="dxa"/>
            <w:vAlign w:val="bottom"/>
            <w:tcBorders>
              <w:bottom w:val="single" w:sz="8" w:color="C3D041"/>
            </w:tcBorders>
            <w:shd w:val="clear" w:color="auto" w:fill="0B4B73"/>
          </w:tcPr>
          <w:p>
            <w:pPr>
              <w:spacing w:after="0"/>
              <w:rPr>
                <w:sz w:val="16"/>
                <w:szCs w:val="16"/>
                <w:color w:val="auto"/>
              </w:rPr>
            </w:pPr>
          </w:p>
        </w:tc>
        <w:tc>
          <w:tcPr>
            <w:tcW w:w="260" w:type="dxa"/>
            <w:vAlign w:val="bottom"/>
            <w:tcBorders>
              <w:bottom w:val="single" w:sz="8" w:color="C3D041"/>
            </w:tcBorders>
            <w:shd w:val="clear" w:color="auto" w:fill="0B4B73"/>
          </w:tcPr>
          <w:p>
            <w:pPr>
              <w:spacing w:after="0"/>
              <w:rPr>
                <w:sz w:val="16"/>
                <w:szCs w:val="16"/>
                <w:color w:val="auto"/>
              </w:rPr>
            </w:pPr>
          </w:p>
        </w:tc>
        <w:tc>
          <w:tcPr>
            <w:tcW w:w="1020" w:type="dxa"/>
            <w:vAlign w:val="bottom"/>
            <w:tcBorders>
              <w:bottom w:val="single" w:sz="8" w:color="C3D041"/>
            </w:tcBorders>
            <w:shd w:val="clear" w:color="auto" w:fill="0B4B73"/>
          </w:tcPr>
          <w:p>
            <w:pPr>
              <w:jc w:val="right"/>
              <w:ind w:right="441"/>
              <w:spacing w:after="0"/>
              <w:rPr>
                <w:sz w:val="20"/>
                <w:szCs w:val="20"/>
                <w:color w:val="auto"/>
              </w:rPr>
            </w:pPr>
            <w:r>
              <w:rPr>
                <w:rFonts w:ascii="Arial" w:cs="Arial" w:eastAsia="Arial" w:hAnsi="Arial"/>
                <w:sz w:val="14"/>
                <w:szCs w:val="14"/>
                <w:b w:val="1"/>
                <w:bCs w:val="1"/>
                <w:color w:val="FFFFFF"/>
              </w:rPr>
              <w:t>2024</w:t>
            </w:r>
          </w:p>
        </w:tc>
      </w:tr>
      <w:tr>
        <w:trPr>
          <w:trHeight w:val="189"/>
        </w:trPr>
        <w:tc>
          <w:tcPr>
            <w:tcW w:w="560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80" w:type="dxa"/>
            <w:vAlign w:val="bottom"/>
            <w:gridSpan w:val="2"/>
            <w:shd w:val="clear" w:color="auto" w:fill="E4EDF1"/>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4EDF1"/>
          </w:tcPr>
          <w:p>
            <w:pPr>
              <w:jc w:val="right"/>
              <w:ind w:right="23"/>
              <w:spacing w:after="0"/>
              <w:rPr>
                <w:sz w:val="20"/>
                <w:szCs w:val="20"/>
                <w:color w:val="auto"/>
              </w:rPr>
            </w:pPr>
            <w:r>
              <w:rPr>
                <w:rFonts w:ascii="Arial" w:cs="Arial" w:eastAsia="Arial" w:hAnsi="Arial"/>
                <w:sz w:val="16"/>
                <w:szCs w:val="16"/>
                <w:color w:val="auto"/>
              </w:rPr>
              <w:t>1,451,141</w:t>
            </w:r>
          </w:p>
        </w:tc>
        <w:tc>
          <w:tcPr>
            <w:tcW w:w="380" w:type="dxa"/>
            <w:vAlign w:val="bottom"/>
            <w:gridSpan w:val="2"/>
            <w:shd w:val="clear" w:color="auto" w:fill="E4EDF1"/>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1,220,561</w:t>
            </w:r>
          </w:p>
        </w:tc>
      </w:tr>
      <w:tr>
        <w:trPr>
          <w:trHeight w:val="189"/>
        </w:trPr>
        <w:tc>
          <w:tcPr>
            <w:tcW w:w="5600" w:type="dxa"/>
            <w:vAlign w:val="bottom"/>
            <w:tcBorders>
              <w:bottom w:val="single" w:sz="8" w:color="E4EDF1"/>
            </w:tcBorders>
          </w:tcPr>
          <w:p>
            <w:pPr>
              <w:spacing w:after="0" w:line="189"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(2)</w:t>
            </w:r>
          </w:p>
        </w:tc>
        <w:tc>
          <w:tcPr>
            <w:tcW w:w="140" w:type="dxa"/>
            <w:vAlign w:val="bottom"/>
            <w:tcBorders>
              <w:bottom w:val="single" w:sz="8" w:color="E4ED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59,543</w:t>
            </w:r>
          </w:p>
        </w:tc>
        <w:tc>
          <w:tcPr>
            <w:tcW w:w="120" w:type="dxa"/>
            <w:vAlign w:val="bottom"/>
            <w:tcBorders>
              <w:bottom w:val="single" w:sz="8" w:color="E4ED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95,275</w:t>
            </w:r>
          </w:p>
        </w:tc>
      </w:tr>
      <w:tr>
        <w:trPr>
          <w:trHeight w:val="223"/>
        </w:trPr>
        <w:tc>
          <w:tcPr>
            <w:tcW w:w="5600" w:type="dxa"/>
            <w:vAlign w:val="bottom"/>
            <w:tcBorders>
              <w:bottom w:val="single" w:sz="8" w:color="E4EDF1"/>
            </w:tcBorders>
            <w:shd w:val="clear" w:color="auto" w:fill="E4EDF1"/>
          </w:tcPr>
          <w:p>
            <w:pPr>
              <w:spacing w:after="0" w:line="169" w:lineRule="exact"/>
              <w:rPr>
                <w:sz w:val="20"/>
                <w:szCs w:val="20"/>
                <w:color w:val="auto"/>
              </w:rPr>
            </w:pPr>
            <w:r>
              <w:rPr>
                <w:rFonts w:ascii="Arial" w:cs="Arial" w:eastAsia="Arial" w:hAnsi="Arial"/>
                <w:sz w:val="16"/>
                <w:szCs w:val="16"/>
                <w:color w:val="auto"/>
              </w:rPr>
              <w:t>Total fees</w:t>
            </w:r>
          </w:p>
        </w:tc>
        <w:tc>
          <w:tcPr>
            <w:tcW w:w="140" w:type="dxa"/>
            <w:vAlign w:val="bottom"/>
            <w:tcBorders>
              <w:bottom w:val="single" w:sz="8" w:color="E4EDF1"/>
            </w:tcBorders>
            <w:shd w:val="clear" w:color="auto" w:fill="E4EDF1"/>
          </w:tcPr>
          <w:p>
            <w:pPr>
              <w:spacing w:after="0"/>
              <w:rPr>
                <w:sz w:val="19"/>
                <w:szCs w:val="19"/>
                <w:color w:val="auto"/>
              </w:rPr>
            </w:pPr>
          </w:p>
        </w:tc>
        <w:tc>
          <w:tcPr>
            <w:tcW w:w="240" w:type="dxa"/>
            <w:vAlign w:val="bottom"/>
            <w:tcBorders>
              <w:bottom w:val="single" w:sz="8" w:color="auto"/>
            </w:tcBorders>
            <w:shd w:val="clear" w:color="auto" w:fill="E4EDF1"/>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4EDF1"/>
          </w:tcPr>
          <w:p>
            <w:pPr>
              <w:jc w:val="right"/>
              <w:ind w:right="23"/>
              <w:spacing w:after="0" w:line="169" w:lineRule="exact"/>
              <w:rPr>
                <w:sz w:val="20"/>
                <w:szCs w:val="20"/>
                <w:color w:val="auto"/>
              </w:rPr>
            </w:pPr>
            <w:r>
              <w:rPr>
                <w:rFonts w:ascii="Arial" w:cs="Arial" w:eastAsia="Arial" w:hAnsi="Arial"/>
                <w:sz w:val="16"/>
                <w:szCs w:val="16"/>
                <w:color w:val="auto"/>
              </w:rPr>
              <w:t>1,510,684</w:t>
            </w:r>
          </w:p>
        </w:tc>
        <w:tc>
          <w:tcPr>
            <w:tcW w:w="120" w:type="dxa"/>
            <w:vAlign w:val="bottom"/>
            <w:tcBorders>
              <w:bottom w:val="single" w:sz="8" w:color="E4EDF1"/>
            </w:tcBorders>
            <w:shd w:val="clear" w:color="auto" w:fill="E4EDF1"/>
          </w:tcPr>
          <w:p>
            <w:pPr>
              <w:spacing w:after="0"/>
              <w:rPr>
                <w:sz w:val="19"/>
                <w:szCs w:val="19"/>
                <w:color w:val="auto"/>
              </w:rPr>
            </w:pPr>
          </w:p>
        </w:tc>
        <w:tc>
          <w:tcPr>
            <w:tcW w:w="260" w:type="dxa"/>
            <w:vAlign w:val="bottom"/>
            <w:tcBorders>
              <w:bottom w:val="single" w:sz="8" w:color="auto"/>
            </w:tcBorders>
            <w:shd w:val="clear" w:color="auto" w:fill="E4EDF1"/>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E4EDF1"/>
          </w:tcPr>
          <w:p>
            <w:pPr>
              <w:jc w:val="right"/>
              <w:ind w:right="21"/>
              <w:spacing w:after="0" w:line="169" w:lineRule="exact"/>
              <w:rPr>
                <w:sz w:val="20"/>
                <w:szCs w:val="20"/>
                <w:color w:val="auto"/>
              </w:rPr>
            </w:pPr>
            <w:r>
              <w:rPr>
                <w:rFonts w:ascii="Arial" w:cs="Arial" w:eastAsia="Arial" w:hAnsi="Arial"/>
                <w:sz w:val="16"/>
                <w:szCs w:val="16"/>
                <w:color w:val="auto"/>
              </w:rPr>
              <w:t>1,315,836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-8255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-153670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146050</wp:posOffset>
            </wp:positionV>
            <wp:extent cx="951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8" w:lineRule="exact"/>
        <w:rPr>
          <w:sz w:val="20"/>
          <w:szCs w:val="20"/>
          <w:color w:val="auto"/>
        </w:rPr>
      </w:pPr>
    </w:p>
    <w:p>
      <w:pPr>
        <w:jc w:val="both"/>
        <w:ind w:left="1180" w:right="299" w:hanging="448"/>
        <w:spacing w:after="0" w:line="263"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by Ernst &amp; Young LLP for audit and quarterly review of our financial statements and review of our registration statements and related issuances of consents, and related services that are normally provided in connection with statutory and regulatory filings or engagements.</w:t>
      </w:r>
    </w:p>
    <w:p>
      <w:pPr>
        <w:spacing w:after="0" w:line="10" w:lineRule="exact"/>
        <w:rPr>
          <w:rFonts w:ascii="Arial" w:cs="Arial" w:eastAsia="Arial" w:hAnsi="Arial"/>
          <w:sz w:val="14"/>
          <w:szCs w:val="14"/>
          <w:color w:val="auto"/>
        </w:rPr>
      </w:pPr>
    </w:p>
    <w:p>
      <w:pPr>
        <w:ind w:left="1180" w:hanging="448"/>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 Fees” consist of fees in connection with tax studies and analyses.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Pre-Approval Policies and Procedures</w:t>
      </w:r>
    </w:p>
    <w:p>
      <w:pPr>
        <w:spacing w:after="0" w:line="106"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The Audit Committee must pre-approve the audit and non-audit services rendered by our independent registered public accounting firm. The Audit Committee has adopted a policy and procedures for the pre-approval of such audit and non-audit services.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such service. The pre-approval authority may be delegated to one or more of the Audit Committee’s members, but any pre-approval decisions must be reported to the full Audit Committee at its next scheduled meeting. Pursuant to the policy, the Audit Committee has delegated pre-approval authority to its Chair.</w:t>
      </w:r>
    </w:p>
    <w:p>
      <w:pPr>
        <w:spacing w:after="0" w:line="180" w:lineRule="exact"/>
        <w:rPr>
          <w:sz w:val="20"/>
          <w:szCs w:val="20"/>
          <w:color w:val="auto"/>
        </w:rPr>
      </w:pPr>
    </w:p>
    <w:p>
      <w:pPr>
        <w:jc w:val="both"/>
        <w:ind w:left="300" w:right="299" w:firstLine="441"/>
        <w:spacing w:after="0" w:line="271" w:lineRule="auto"/>
        <w:rPr>
          <w:sz w:val="20"/>
          <w:szCs w:val="20"/>
          <w:color w:val="auto"/>
        </w:rPr>
      </w:pPr>
      <w:r>
        <w:rPr>
          <w:rFonts w:ascii="Arial" w:cs="Arial" w:eastAsia="Arial" w:hAnsi="Arial"/>
          <w:sz w:val="18"/>
          <w:szCs w:val="18"/>
          <w:color w:val="auto"/>
        </w:rPr>
        <w:t>The Audit Committee has determined that the rendering of services other than audit services by Ernst &amp; Young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9"/>
          <w:szCs w:val="29"/>
          <w:b w:val="1"/>
          <w:bCs w:val="1"/>
          <w:color w:val="FFFFFF"/>
        </w:rPr>
        <w:t>Proposal 3—Advisory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67310</wp:posOffset>
            </wp:positionV>
            <wp:extent cx="5349240" cy="52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522605"/>
                    </a:xfrm>
                    <a:prstGeom prst="rect">
                      <a:avLst/>
                    </a:prstGeom>
                    <a:noFill/>
                  </pic:spPr>
                </pic:pic>
              </a:graphicData>
            </a:graphic>
          </wp:anchor>
        </w:drawing>
      </w:r>
    </w:p>
    <w:p>
      <w:pPr>
        <w:spacing w:after="0" w:line="175" w:lineRule="exact"/>
        <w:rPr>
          <w:sz w:val="20"/>
          <w:szCs w:val="20"/>
          <w:color w:val="auto"/>
        </w:rPr>
      </w:pPr>
    </w:p>
    <w:p>
      <w:pPr>
        <w:ind w:left="360" w:right="1379"/>
        <w:spacing w:after="0" w:line="257" w:lineRule="auto"/>
        <w:rPr>
          <w:sz w:val="20"/>
          <w:szCs w:val="20"/>
          <w:color w:val="auto"/>
        </w:rPr>
      </w:pPr>
      <w:r>
        <w:rPr>
          <w:rFonts w:ascii="Arial" w:cs="Arial" w:eastAsia="Arial" w:hAnsi="Arial"/>
          <w:sz w:val="18"/>
          <w:szCs w:val="18"/>
          <w:b w:val="1"/>
          <w:bCs w:val="1"/>
          <w:color w:val="FFFFFF"/>
        </w:rPr>
        <w:t>The Board of Directors recommends a vote “FOR” the approval, in a non-binding and advisory stockholder vote, of the compensation of the Company’s named executive officers as disclosed in this proxy statement.</w:t>
      </w:r>
    </w:p>
    <w:p>
      <w:pPr>
        <w:spacing w:after="0" w:line="267"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tables and narrative discussion. In considering their vote, we urge stockholders to review the information on our compensation policies and decisions regarding the named executive officers presented in the section below titled “Executive Compensation.”</w:t>
      </w:r>
    </w:p>
    <w:p>
      <w:pPr>
        <w:spacing w:after="0" w:line="179"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If the “One Year” option is the option that receives the highest number of affirmative votes as to the frequency of future say-on-pay votes under Proposal 4 or the Board otherwise determines to hold non-binding advisory votes on executive compensation on an annual basis, we expect that we will conduct our next say-on-pay vote at the 2027 Annual Meeting of Stockholders.</w:t>
      </w:r>
    </w:p>
    <w:p>
      <w:pPr>
        <w:spacing w:after="0" w:line="185"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We believe that our compensation components provide a reasonable balance of base compensation and long-term equity-based incentive compensation that is closely aligned with our overall performance. We aim to provide executive officers with a reasonable level of security through base salary and benefits, while rewarding them through cash and equity-based incentive compensation to achieve business objectives and create stockholder value.</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text of the resolution in respect of Proposal 3 is as follows:</w:t>
      </w:r>
    </w:p>
    <w:p>
      <w:pPr>
        <w:spacing w:after="0" w:line="212"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 that the compensation paid to the Company’s named executive officers as disclosed</w:t>
      </w:r>
      <w:r>
        <w:rPr>
          <w:rFonts w:ascii="Arial" w:cs="Arial" w:eastAsia="Arial" w:hAnsi="Arial"/>
          <w:sz w:val="18"/>
          <w:szCs w:val="18"/>
          <w:color w:val="auto"/>
        </w:rPr>
        <w:t xml:space="preserve"> </w:t>
      </w:r>
      <w:r>
        <w:rPr>
          <w:rFonts w:ascii="Arial" w:cs="Arial" w:eastAsia="Arial" w:hAnsi="Arial"/>
          <w:sz w:val="18"/>
          <w:szCs w:val="18"/>
          <w:i w:val="1"/>
          <w:iCs w:val="1"/>
          <w:color w:val="auto"/>
        </w:rPr>
        <w:t>pursuant to Item 402 of Regulation S-K, including the compensation tables and narrative discussion, is hereby approved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506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506095"/>
                    </a:xfrm>
                    <a:prstGeom prst="rect">
                      <a:avLst/>
                    </a:prstGeom>
                    <a:noFill/>
                  </pic:spPr>
                </pic:pic>
              </a:graphicData>
            </a:graphic>
          </wp:anchor>
        </w:drawing>
      </w:r>
    </w:p>
    <w:p>
      <w:pPr>
        <w:ind w:left="360" w:right="879"/>
        <w:spacing w:after="0" w:line="307" w:lineRule="auto"/>
        <w:rPr>
          <w:sz w:val="20"/>
          <w:szCs w:val="20"/>
          <w:color w:val="auto"/>
        </w:rPr>
      </w:pPr>
      <w:r>
        <w:rPr>
          <w:rFonts w:ascii="Arial" w:cs="Arial" w:eastAsia="Arial" w:hAnsi="Arial"/>
          <w:sz w:val="28"/>
          <w:szCs w:val="28"/>
          <w:b w:val="1"/>
          <w:bCs w:val="1"/>
          <w:color w:val="FFFFFF"/>
        </w:rPr>
        <w:t>Proposal 4—Advisory Vote on the Frequency of Future Advisory Stockholder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52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522605"/>
                    </a:xfrm>
                    <a:prstGeom prst="rect">
                      <a:avLst/>
                    </a:prstGeom>
                    <a:noFill/>
                  </pic:spPr>
                </pic:pic>
              </a:graphicData>
            </a:graphic>
          </wp:anchor>
        </w:drawing>
      </w:r>
    </w:p>
    <w:p>
      <w:pPr>
        <w:spacing w:after="0" w:line="22" w:lineRule="exact"/>
        <w:rPr>
          <w:sz w:val="20"/>
          <w:szCs w:val="20"/>
          <w:color w:val="auto"/>
        </w:rPr>
      </w:pPr>
    </w:p>
    <w:p>
      <w:pPr>
        <w:jc w:val="both"/>
        <w:ind w:left="360" w:right="1379"/>
        <w:spacing w:after="0" w:line="257" w:lineRule="auto"/>
        <w:rPr>
          <w:sz w:val="20"/>
          <w:szCs w:val="20"/>
          <w:color w:val="auto"/>
        </w:rPr>
      </w:pPr>
      <w:r>
        <w:rPr>
          <w:rFonts w:ascii="Arial" w:cs="Arial" w:eastAsia="Arial" w:hAnsi="Arial"/>
          <w:sz w:val="18"/>
          <w:szCs w:val="18"/>
          <w:b w:val="1"/>
          <w:bCs w:val="1"/>
          <w:color w:val="FFFFFF"/>
        </w:rPr>
        <w:t>The Board of Directors recommends a vote of the frequency of future advisory votes on the compensation of the Company’s named executive officers as disclosed in this proxy statement “One Year.”</w:t>
      </w:r>
    </w:p>
    <w:p>
      <w:pPr>
        <w:spacing w:after="0" w:line="267"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Although the vote is non-binding, the Compensation Committee and the Board will carefully consider the outcome of the vote when determining the frequency of future stockholder advisory votes to approve the compensation of our named executive officers.</w:t>
      </w:r>
    </w:p>
    <w:p>
      <w:pPr>
        <w:spacing w:after="0" w:line="185"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After careful consideration, the Board has determined that a say-on-pay vote that occurs every year is the most appropriate alternative for our Company at this time. Therefore, the Board recommends that you vote for a “One Year” frequency for the say-on-pay vote.</w:t>
      </w:r>
    </w:p>
    <w:p>
      <w:pPr>
        <w:spacing w:after="0" w:line="169" w:lineRule="exact"/>
        <w:rPr>
          <w:sz w:val="20"/>
          <w:szCs w:val="20"/>
          <w:color w:val="auto"/>
        </w:rPr>
      </w:pPr>
    </w:p>
    <w:p>
      <w:pPr>
        <w:jc w:val="both"/>
        <w:ind w:left="300" w:right="299" w:firstLine="441"/>
        <w:spacing w:after="0" w:line="271" w:lineRule="auto"/>
        <w:rPr>
          <w:sz w:val="20"/>
          <w:szCs w:val="20"/>
          <w:color w:val="auto"/>
        </w:rPr>
      </w:pPr>
      <w:r>
        <w:rPr>
          <w:rFonts w:ascii="Arial" w:cs="Arial" w:eastAsia="Arial" w:hAnsi="Arial"/>
          <w:sz w:val="18"/>
          <w:szCs w:val="18"/>
          <w:color w:val="auto"/>
        </w:rPr>
        <w:t>Although the Board recommends a say-on-pay vote be held every year, you may vote one of four choices for this Proposal 4 on the proxy card: “One Year,” “Two Years,” “Three Years,” or “Abstain.”</w:t>
      </w:r>
    </w:p>
    <w:p>
      <w:pPr>
        <w:spacing w:after="0" w:line="154"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The Board and the Compensation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or the Company, the Board may decide that it is in the best interests of the stockholders that we hold a say-on-pay vote more or less frequently than the option preferred by the stockholders. The vote will not be construed to create or imply any change or addition to the fiduciary duties of the Company or the Board.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90" w:lineRule="exact"/>
        <w:rPr>
          <w:sz w:val="20"/>
          <w:szCs w:val="20"/>
          <w:color w:val="auto"/>
        </w:rPr>
      </w:pPr>
    </w:p>
    <w:p>
      <w:pPr>
        <w:jc w:val="center"/>
        <w:ind w:left="300" w:right="399"/>
        <w:spacing w:after="0" w:line="283" w:lineRule="auto"/>
        <w:rPr>
          <w:sz w:val="20"/>
          <w:szCs w:val="20"/>
          <w:color w:val="auto"/>
        </w:rPr>
      </w:pPr>
      <w:r>
        <w:rPr>
          <w:rFonts w:ascii="Arial" w:cs="Arial" w:eastAsia="Arial" w:hAnsi="Arial"/>
          <w:sz w:val="32"/>
          <w:szCs w:val="32"/>
          <w:b w:val="1"/>
          <w:bCs w:val="1"/>
          <w:color w:val="0B4B73"/>
        </w:rPr>
        <w:t>Information Regarding the Board of Directors and Corporate Governance</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Board Diversity</w:t>
      </w:r>
    </w:p>
    <w:p>
      <w:pPr>
        <w:spacing w:after="0" w:line="123"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While we do not have a formal diversity policy in place, the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Independence of the Board of Directors</w:t>
      </w:r>
    </w:p>
    <w:p>
      <w:pPr>
        <w:spacing w:after="0" w:line="123"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As required under the Nasdaq Stock Market (“Nasdaq”) listing standards, a majority of the members of a listed company’s Board of Directors must qualify as “independent,” as affirmatively determined by the Board of such company. Our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79"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our company, our senior management and our independent auditors, the Board has affirmatively determined that all of our directors, other than Mr. Lowenthal and Dr. Shah, are independent within the meaning of the applicable Nasdaq listing standards. In making this determination, the Board found that none of these directors had a material or other disqualifying relationship with our company.</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Family Relationships</w:t>
      </w:r>
    </w:p>
    <w:p>
      <w:pPr>
        <w:spacing w:after="0" w:line="123" w:lineRule="exact"/>
        <w:rPr>
          <w:sz w:val="20"/>
          <w:szCs w:val="20"/>
          <w:color w:val="auto"/>
        </w:rPr>
      </w:pPr>
    </w:p>
    <w:p>
      <w:pPr>
        <w:jc w:val="both"/>
        <w:ind w:left="300" w:right="319" w:firstLine="441"/>
        <w:spacing w:after="0" w:line="271" w:lineRule="auto"/>
        <w:rPr>
          <w:sz w:val="20"/>
          <w:szCs w:val="20"/>
          <w:color w:val="auto"/>
        </w:rPr>
      </w:pPr>
      <w:r>
        <w:rPr>
          <w:rFonts w:ascii="Arial" w:cs="Arial" w:eastAsia="Arial" w:hAnsi="Arial"/>
          <w:sz w:val="18"/>
          <w:szCs w:val="18"/>
          <w:color w:val="auto"/>
        </w:rPr>
        <w:t>Except for Mr. Lowenthal and Sarina Tanimoto, M.D., M.B.A., our Chief Medical Officer, who are spouses, there are no family relationships among any of our directors or executive officers.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Board Leadership Structure</w:t>
      </w:r>
    </w:p>
    <w:p>
      <w:pPr>
        <w:spacing w:after="0" w:line="123"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 xml:space="preserve">Our Board is currently chaired by Dr. Shah (the “Chair”). Our Chair has the authority, among other things, to call and preside over our Board meetings, to set meeting agendas and to determine materials to be distributed to the Board. Accordingly, our Chair has substantial ability to shape the work of our Board. We believe that separation of the positions of Chair and Chief Executive Officer reinforces the independence of our Board in its oversight of our business and affairs. In addition, we have a separate chair for each committee of our Board. The chair of each committee is expected to report annually to our Board on the activities of their committee in fulfilling their responsibilities as </w:t>
      </w:r>
      <w:r>
        <w:rPr>
          <w:rFonts w:ascii="Times New Roman" w:cs="Times New Roman" w:eastAsia="Times New Roman" w:hAnsi="Times New Roman"/>
          <w:sz w:val="18"/>
          <w:szCs w:val="18"/>
          <w:color w:val="auto"/>
        </w:rPr>
        <w:t>detailed</w:t>
      </w:r>
      <w:r>
        <w:rPr>
          <w:rFonts w:ascii="Arial" w:cs="Arial" w:eastAsia="Arial" w:hAnsi="Arial"/>
          <w:sz w:val="18"/>
          <w:szCs w:val="18"/>
          <w:color w:val="auto"/>
        </w:rPr>
        <w:t xml:space="preserve"> in their respective charters or specify any shortcomings should that be the case.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Stockholder Communications with the Board of Directors</w:t>
      </w:r>
    </w:p>
    <w:p>
      <w:pPr>
        <w:spacing w:after="0" w:line="123"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Our Board has adopted a formal process by which stockholders may communicate with the Board or any of its directors. Stockholders who wish to communicate with the Board may do so by sending written communications addressed to the Secretary of ARS Pharmaceuticals, Inc. at 11682 El Camino Real, Suite 300, San Diego, California 92130. Each communication must set forth: the name and address of the stockholder on whose behalf the communication is sent and the number of our shares that are owned beneficially by such stockholder as of the date of the communication. Each communication will be reviewed by our Secretary to determine whether it is appropriate for presentation to the Board or such director. Communications determined by our Secretary to be appropriate for presentation to the Board or such director will be submitted to the Board or such director on a periodic basis.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Insider Trading Policy; Hedging and Pledging Policy</w:t>
      </w:r>
    </w:p>
    <w:p>
      <w:pPr>
        <w:spacing w:after="0" w:line="123"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We have adopted an Insider Trading Policy governing the purchase, sale, and/or other dispositions of the Company’s securities by directors, officers, other employees and consultants of the Company that is designed to promote compliance with insider trading laws, rules and regulations, as well as procedures designed to further the foregoing purposes. Pursuant to our Insider Trading Policy, to the extent the Company engages in market repurchase transactions of its securities, the Company intends to comply with applicable laws and regulations relating to insider trading. A copy of our Insider Trading Policy is filed as an exhibit to our Annual Report on Form 10-K for our fiscal year ended December 31, 2025.</w:t>
      </w:r>
    </w:p>
    <w:p>
      <w:pPr>
        <w:spacing w:after="0" w:line="185"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Our Insider Trading Policy also prohibits our directors, officers, other employees and consultants from engaging in short sales, transactions in put or call options, hedging or monetization transactions or other inherently speculative transactions with respect to the Company’s stock at any time. In addition, no directors, officers, other employees and consultants of the Company may margin, or make any offer to margin, or otherwise pledge as security, any of the Company’s stock, including without limitation, borrowing against such stock, at any time.</w:t>
      </w:r>
    </w:p>
    <w:p>
      <w:pPr>
        <w:spacing w:after="0" w:line="173" w:lineRule="exact"/>
        <w:rPr>
          <w:sz w:val="20"/>
          <w:szCs w:val="20"/>
          <w:color w:val="auto"/>
        </w:rPr>
      </w:pPr>
    </w:p>
    <w:p>
      <w:pPr>
        <w:jc w:val="both"/>
        <w:ind w:left="300" w:right="319"/>
        <w:spacing w:after="0" w:line="295" w:lineRule="auto"/>
        <w:rPr>
          <w:sz w:val="20"/>
          <w:szCs w:val="20"/>
          <w:color w:val="auto"/>
        </w:rPr>
      </w:pPr>
      <w:r>
        <w:rPr>
          <w:rFonts w:ascii="Arial" w:cs="Arial" w:eastAsia="Arial" w:hAnsi="Arial"/>
          <w:sz w:val="25"/>
          <w:szCs w:val="25"/>
          <w:b w:val="1"/>
          <w:bCs w:val="1"/>
          <w:color w:val="0B4B73"/>
        </w:rPr>
        <w:t>Policies and Practices Related to the Grant of Certain Equity Awards Close in Time to the Release of Material Nonpublic Information</w:t>
      </w:r>
    </w:p>
    <w:p>
      <w:pPr>
        <w:spacing w:after="0" w:line="1" w:lineRule="exact"/>
        <w:rPr>
          <w:sz w:val="20"/>
          <w:szCs w:val="20"/>
          <w:color w:val="auto"/>
        </w:rPr>
      </w:pPr>
    </w:p>
    <w:p>
      <w:pPr>
        <w:jc w:val="both"/>
        <w:ind w:left="300" w:right="299" w:firstLine="441"/>
        <w:spacing w:after="0" w:line="236" w:lineRule="auto"/>
        <w:rPr>
          <w:sz w:val="20"/>
          <w:szCs w:val="20"/>
          <w:color w:val="auto"/>
        </w:rPr>
      </w:pPr>
      <w:r>
        <w:rPr>
          <w:rFonts w:ascii="Arial" w:cs="Arial" w:eastAsia="Arial" w:hAnsi="Arial"/>
          <w:sz w:val="18"/>
          <w:szCs w:val="18"/>
          <w:color w:val="auto"/>
        </w:rPr>
        <w:t>From time to time, the Company grants stock options to its employees, including the named executive officers. Historically, the Company has granted new-hire option awards on or soon after a new hire’s employment start date and annual refresh employee option grants effective on the first trading day of each fiscal year, which refresh grants are typically approved at the regularly scheduled meeting of the Compensation Committee occurring in the fourth quarter of the year preceding the grant.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“Non-Employee Director Compensation” below. The Company also maintains written equity grant guidelines for its Non-Officer Stock Option Committee, which guidelines provide that any grants made shall be granted effective as of the first day of the calendar month following the month in which such options are approved by the Non-Officer Stock Option Committee. The Company does not otherwise maintain any written policies on the timing of awards of stock options, stock appreciation rights, or similar instruments with option-like features. Because new-hire awards are generally granted on or soon after a new hire’s employment start date and annual refresh employee option grants are typically approved in the fourth quarter of the year with a grant date of the first business day following January 1 of the immediately following calendar year, the Compensation Committee generally does not take material nonpublic information (“MNPI”) into account when determining the timing of awards, and it does not seek to time the award of stock options in relation to the Company’s public disclosure of MNPI. Likewise, because stock option grants made to non-officers of the Company by the Non-Officer Stock Option Committee are made pursuant to our equity grant guidelines, the Non-Officer Stock Option Committee generally does not take MNPI into account when determining the timing of awards, and it does not seek to time the award of stock options in relation to the Company’s public disclosure of MNPI. The Company has not timed the release of MNPI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Code of Ethics</w:t>
      </w:r>
    </w:p>
    <w:p>
      <w:pPr>
        <w:spacing w:after="0" w:line="123"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We have adopted a Code of Business Conduct and Ethics that applies to all officers, directors and employees, including our principal executive officer, principal financial officer, principal accounting officer or controller, or person performing similar functions. The Code of Business Conduct and Ethics is available on our website at www.ars-pharma.com. If we make any substantive amendments to the Code of Business Conduct and Ethics or grant any waiver from a provision of the Code of Business Conduct and Ethics to any principal executive officer, principal financial officer, principal accounting officer or controller or persons performing similar functions or our directors, we will promptly disclose the nature of the amendment or waiver on our website.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Role of the Board of Directors in Risk Oversight</w:t>
      </w:r>
    </w:p>
    <w:p>
      <w:pPr>
        <w:spacing w:after="0" w:line="123"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Our Audit Committee is primarily responsible for overseeing our risk management processes on behalf of the full Board. The Audit Committee receives reports from management at least annually regarding our assessment of risks. In addition, the Audit Committee reports regularly to the full Board, which also considers our risk profile. The Audit Committee and the full Board focus on the most significant risks we face and our general risk management strategies. While the Board oversees our risk management, Company management is responsible for day-to-day risk management processes. Our Board expects company management to consider risk and risk management in each business decision, to proactively develop and monitor risk management strategies and processes for day-to-day activities and to effectively implement risk management strategies adopted by the Audit Committee and the Board. We believe this division of responsibilities is the most effective approach for addressing the risks we face and that our Board leadership structure, which also emphasizes the independence of the Board in its oversight of our business and affairs, supports this approach.</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Meetings of the Board of Directors</w:t>
      </w:r>
    </w:p>
    <w:p>
      <w:pPr>
        <w:spacing w:after="0" w:line="123"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Board held four meetings during 2025. No member of the Board attended fewer than 75% of the aggregate number of meetings of the Board (held during the period for which he or she was a director) and the total number of meetings held by all committees of the Board on which such director served (held during the period that such director 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Information Regarding Committees of the Board of Directors</w:t>
      </w:r>
    </w:p>
    <w:p>
      <w:pPr>
        <w:spacing w:after="0" w:line="123"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Board has four standing committees: an Audit Committee, a Compensation Committee, a Nominating and Corporate Governance Committee, and a Commercial Committee. The following table provides membership information and meeting information for 2025 for each of the committees of the Board:</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70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2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Nominating</w:t>
            </w:r>
          </w:p>
        </w:tc>
        <w:tc>
          <w:tcPr>
            <w:tcW w:w="1120" w:type="dxa"/>
            <w:vAlign w:val="bottom"/>
            <w:shd w:val="clear" w:color="auto" w:fill="0B4B73"/>
          </w:tcPr>
          <w:p>
            <w:pPr>
              <w:spacing w:after="0"/>
              <w:rPr>
                <w:sz w:val="14"/>
                <w:szCs w:val="14"/>
                <w:color w:val="auto"/>
              </w:rPr>
            </w:pPr>
          </w:p>
        </w:tc>
      </w:tr>
      <w:tr>
        <w:trPr>
          <w:trHeight w:val="162"/>
        </w:trPr>
        <w:tc>
          <w:tcPr>
            <w:tcW w:w="370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2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and</w:t>
            </w:r>
          </w:p>
        </w:tc>
        <w:tc>
          <w:tcPr>
            <w:tcW w:w="1120" w:type="dxa"/>
            <w:vAlign w:val="bottom"/>
            <w:shd w:val="clear" w:color="auto" w:fill="0B4B73"/>
          </w:tcPr>
          <w:p>
            <w:pPr>
              <w:spacing w:after="0"/>
              <w:rPr>
                <w:sz w:val="14"/>
                <w:szCs w:val="14"/>
                <w:color w:val="auto"/>
              </w:rPr>
            </w:pPr>
          </w:p>
        </w:tc>
      </w:tr>
      <w:tr>
        <w:trPr>
          <w:trHeight w:val="162"/>
        </w:trPr>
        <w:tc>
          <w:tcPr>
            <w:tcW w:w="370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2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Corporate</w:t>
            </w:r>
          </w:p>
        </w:tc>
        <w:tc>
          <w:tcPr>
            <w:tcW w:w="1120" w:type="dxa"/>
            <w:vAlign w:val="bottom"/>
            <w:shd w:val="clear" w:color="auto" w:fill="0B4B73"/>
          </w:tcPr>
          <w:p>
            <w:pPr>
              <w:spacing w:after="0"/>
              <w:rPr>
                <w:sz w:val="14"/>
                <w:szCs w:val="14"/>
                <w:color w:val="auto"/>
              </w:rPr>
            </w:pPr>
          </w:p>
        </w:tc>
      </w:tr>
      <w:tr>
        <w:trPr>
          <w:trHeight w:val="183"/>
        </w:trPr>
        <w:tc>
          <w:tcPr>
            <w:tcW w:w="3700" w:type="dxa"/>
            <w:vAlign w:val="bottom"/>
            <w:tcBorders>
              <w:bottom w:val="single" w:sz="8" w:color="C3D041"/>
            </w:tcBorders>
            <w:shd w:val="clear" w:color="auto" w:fill="0B4B73"/>
          </w:tcPr>
          <w:p>
            <w:pPr>
              <w:ind w:left="1640"/>
              <w:spacing w:after="0"/>
              <w:rPr>
                <w:sz w:val="20"/>
                <w:szCs w:val="20"/>
                <w:color w:val="auto"/>
              </w:rPr>
            </w:pPr>
            <w:r>
              <w:rPr>
                <w:rFonts w:ascii="Arial" w:cs="Arial" w:eastAsia="Arial" w:hAnsi="Arial"/>
                <w:sz w:val="14"/>
                <w:szCs w:val="14"/>
                <w:b w:val="1"/>
                <w:bCs w:val="1"/>
                <w:color w:val="FFFFFF"/>
              </w:rPr>
              <w:t>Name</w:t>
            </w:r>
          </w:p>
        </w:tc>
        <w:tc>
          <w:tcPr>
            <w:tcW w:w="1200" w:type="dxa"/>
            <w:vAlign w:val="bottom"/>
            <w:tcBorders>
              <w:bottom w:val="single" w:sz="8" w:color="C3D041"/>
            </w:tcBorders>
            <w:shd w:val="clear" w:color="auto" w:fill="0B4B73"/>
          </w:tcPr>
          <w:p>
            <w:pPr>
              <w:jc w:val="center"/>
              <w:ind w:left="8"/>
              <w:spacing w:after="0"/>
              <w:rPr>
                <w:sz w:val="20"/>
                <w:szCs w:val="20"/>
                <w:color w:val="auto"/>
              </w:rPr>
            </w:pPr>
            <w:r>
              <w:rPr>
                <w:rFonts w:ascii="Arial" w:cs="Arial" w:eastAsia="Arial" w:hAnsi="Arial"/>
                <w:sz w:val="14"/>
                <w:szCs w:val="14"/>
                <w:b w:val="1"/>
                <w:bCs w:val="1"/>
                <w:color w:val="FFFFFF"/>
              </w:rPr>
              <w:t>Audit</w:t>
            </w:r>
          </w:p>
        </w:tc>
        <w:tc>
          <w:tcPr>
            <w:tcW w:w="126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Governance</w:t>
            </w:r>
          </w:p>
        </w:tc>
        <w:tc>
          <w:tcPr>
            <w:tcW w:w="112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Commercial</w:t>
            </w:r>
          </w:p>
        </w:tc>
      </w:tr>
      <w:tr>
        <w:trPr>
          <w:trHeight w:val="189"/>
        </w:trPr>
        <w:tc>
          <w:tcPr>
            <w:tcW w:w="3700" w:type="dxa"/>
            <w:vAlign w:val="bottom"/>
            <w:shd w:val="clear" w:color="auto" w:fill="E4EDF1"/>
          </w:tcPr>
          <w:p>
            <w:pPr>
              <w:spacing w:after="0"/>
              <w:rPr>
                <w:sz w:val="20"/>
                <w:szCs w:val="20"/>
                <w:color w:val="auto"/>
              </w:rPr>
            </w:pPr>
            <w:r>
              <w:rPr>
                <w:rFonts w:ascii="Arial" w:cs="Arial" w:eastAsia="Arial" w:hAnsi="Arial"/>
                <w:sz w:val="16"/>
                <w:szCs w:val="16"/>
                <w:color w:val="auto"/>
              </w:rPr>
              <w:t>Rajeev Dadoo, Ph.D.</w:t>
            </w:r>
          </w:p>
        </w:tc>
        <w:tc>
          <w:tcPr>
            <w:tcW w:w="1200" w:type="dxa"/>
            <w:vAlign w:val="bottom"/>
            <w:shd w:val="clear" w:color="auto" w:fill="E4EDF1"/>
          </w:tcPr>
          <w:p>
            <w:pPr>
              <w:jc w:val="center"/>
              <w:ind w:left="28"/>
              <w:spacing w:after="0"/>
              <w:rPr>
                <w:sz w:val="20"/>
                <w:szCs w:val="20"/>
                <w:color w:val="auto"/>
              </w:rPr>
            </w:pPr>
            <w:r>
              <w:rPr>
                <w:rFonts w:ascii="Arial" w:cs="Arial" w:eastAsia="Arial" w:hAnsi="Arial"/>
                <w:sz w:val="16"/>
                <w:szCs w:val="16"/>
                <w:color w:val="auto"/>
                <w:w w:val="93"/>
              </w:rPr>
              <w:t>X</w:t>
            </w:r>
          </w:p>
        </w:tc>
        <w:tc>
          <w:tcPr>
            <w:tcW w:w="1260" w:type="dxa"/>
            <w:vAlign w:val="bottom"/>
            <w:shd w:val="clear" w:color="auto" w:fill="E4EDF1"/>
          </w:tcPr>
          <w:p>
            <w:pPr>
              <w:spacing w:after="0"/>
              <w:rPr>
                <w:sz w:val="16"/>
                <w:szCs w:val="16"/>
                <w:color w:val="auto"/>
              </w:rPr>
            </w:pPr>
          </w:p>
        </w:tc>
        <w:tc>
          <w:tcPr>
            <w:tcW w:w="1140" w:type="dxa"/>
            <w:vAlign w:val="bottom"/>
            <w:shd w:val="clear" w:color="auto" w:fill="E4EDF1"/>
          </w:tcPr>
          <w:p>
            <w:pPr>
              <w:spacing w:after="0"/>
              <w:rPr>
                <w:sz w:val="16"/>
                <w:szCs w:val="16"/>
                <w:color w:val="auto"/>
              </w:rPr>
            </w:pPr>
          </w:p>
        </w:tc>
        <w:tc>
          <w:tcPr>
            <w:tcW w:w="1120" w:type="dxa"/>
            <w:vAlign w:val="bottom"/>
            <w:shd w:val="clear" w:color="auto" w:fill="E4EDF1"/>
          </w:tcPr>
          <w:p>
            <w:pPr>
              <w:spacing w:after="0"/>
              <w:rPr>
                <w:sz w:val="16"/>
                <w:szCs w:val="16"/>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Saqib Islam, J.D.</w:t>
            </w:r>
          </w:p>
        </w:tc>
        <w:tc>
          <w:tcPr>
            <w:tcW w:w="120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6"/>
                <w:szCs w:val="16"/>
                <w:color w:val="auto"/>
                <w:w w:val="86"/>
              </w:rPr>
              <w:t>X</w:t>
            </w:r>
            <w:r>
              <w:rPr>
                <w:rFonts w:ascii="Arial" w:cs="Arial" w:eastAsia="Arial" w:hAnsi="Arial"/>
                <w:sz w:val="21"/>
                <w:szCs w:val="21"/>
                <w:color w:val="auto"/>
                <w:w w:val="86"/>
                <w:vertAlign w:val="superscript"/>
              </w:rPr>
              <w:t>*</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3700" w:type="dxa"/>
            <w:vAlign w:val="bottom"/>
            <w:shd w:val="clear" w:color="auto" w:fill="E4EDF1"/>
          </w:tcPr>
          <w:p>
            <w:pPr>
              <w:spacing w:after="0"/>
              <w:rPr>
                <w:sz w:val="20"/>
                <w:szCs w:val="20"/>
                <w:color w:val="auto"/>
              </w:rPr>
            </w:pPr>
            <w:r>
              <w:rPr>
                <w:rFonts w:ascii="Arial" w:cs="Arial" w:eastAsia="Arial" w:hAnsi="Arial"/>
                <w:sz w:val="16"/>
                <w:szCs w:val="16"/>
                <w:color w:val="auto"/>
              </w:rPr>
              <w:t>Michael Kelly</w:t>
            </w:r>
          </w:p>
        </w:tc>
        <w:tc>
          <w:tcPr>
            <w:tcW w:w="1200" w:type="dxa"/>
            <w:vAlign w:val="bottom"/>
            <w:shd w:val="clear" w:color="auto" w:fill="E4EDF1"/>
          </w:tcPr>
          <w:p>
            <w:pPr>
              <w:jc w:val="center"/>
              <w:ind w:left="28"/>
              <w:spacing w:after="0"/>
              <w:rPr>
                <w:sz w:val="20"/>
                <w:szCs w:val="20"/>
                <w:color w:val="auto"/>
              </w:rPr>
            </w:pPr>
            <w:r>
              <w:rPr>
                <w:rFonts w:ascii="Arial" w:cs="Arial" w:eastAsia="Arial" w:hAnsi="Arial"/>
                <w:sz w:val="16"/>
                <w:szCs w:val="16"/>
                <w:color w:val="auto"/>
                <w:w w:val="93"/>
              </w:rPr>
              <w:t>X</w:t>
            </w:r>
          </w:p>
        </w:tc>
        <w:tc>
          <w:tcPr>
            <w:tcW w:w="1260" w:type="dxa"/>
            <w:vAlign w:val="bottom"/>
            <w:shd w:val="clear" w:color="auto" w:fill="E4EDF1"/>
          </w:tcPr>
          <w:p>
            <w:pPr>
              <w:spacing w:after="0"/>
              <w:rPr>
                <w:sz w:val="16"/>
                <w:szCs w:val="16"/>
                <w:color w:val="auto"/>
              </w:rPr>
            </w:pPr>
          </w:p>
        </w:tc>
        <w:tc>
          <w:tcPr>
            <w:tcW w:w="1140" w:type="dxa"/>
            <w:vAlign w:val="bottom"/>
            <w:shd w:val="clear" w:color="auto" w:fill="E4EDF1"/>
          </w:tcPr>
          <w:p>
            <w:pPr>
              <w:spacing w:after="0"/>
              <w:rPr>
                <w:sz w:val="16"/>
                <w:szCs w:val="16"/>
                <w:color w:val="auto"/>
              </w:rPr>
            </w:pPr>
          </w:p>
        </w:tc>
        <w:tc>
          <w:tcPr>
            <w:tcW w:w="112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X</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Peter Kolchinsky, Ph.D.</w:t>
            </w: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6"/>
                <w:szCs w:val="16"/>
                <w:color w:val="auto"/>
                <w:w w:val="98"/>
              </w:rPr>
              <w:t>X</w:t>
            </w:r>
            <w:r>
              <w:rPr>
                <w:rFonts w:ascii="Arial" w:cs="Arial" w:eastAsia="Arial" w:hAnsi="Arial"/>
                <w:sz w:val="21"/>
                <w:szCs w:val="21"/>
                <w:color w:val="auto"/>
                <w:w w:val="98"/>
                <w:vertAlign w:val="superscript"/>
              </w:rPr>
              <w:t>*</w:t>
            </w:r>
          </w:p>
        </w:tc>
        <w:tc>
          <w:tcPr>
            <w:tcW w:w="1120" w:type="dxa"/>
            <w:vAlign w:val="bottom"/>
          </w:tcPr>
          <w:p>
            <w:pPr>
              <w:spacing w:after="0"/>
              <w:rPr>
                <w:sz w:val="16"/>
                <w:szCs w:val="16"/>
                <w:color w:val="auto"/>
              </w:rPr>
            </w:pPr>
          </w:p>
        </w:tc>
      </w:tr>
      <w:tr>
        <w:trPr>
          <w:trHeight w:val="189"/>
        </w:trPr>
        <w:tc>
          <w:tcPr>
            <w:tcW w:w="3700" w:type="dxa"/>
            <w:vAlign w:val="bottom"/>
            <w:shd w:val="clear" w:color="auto" w:fill="E4EDF1"/>
          </w:tcPr>
          <w:p>
            <w:pPr>
              <w:spacing w:after="0"/>
              <w:rPr>
                <w:sz w:val="20"/>
                <w:szCs w:val="20"/>
                <w:color w:val="auto"/>
              </w:rPr>
            </w:pPr>
            <w:r>
              <w:rPr>
                <w:rFonts w:ascii="Arial" w:cs="Arial" w:eastAsia="Arial" w:hAnsi="Arial"/>
                <w:sz w:val="16"/>
                <w:szCs w:val="16"/>
                <w:color w:val="auto"/>
              </w:rPr>
              <w:t>Brenton L. Saunders</w:t>
            </w:r>
          </w:p>
        </w:tc>
        <w:tc>
          <w:tcPr>
            <w:tcW w:w="1200" w:type="dxa"/>
            <w:vAlign w:val="bottom"/>
            <w:shd w:val="clear" w:color="auto" w:fill="E4EDF1"/>
          </w:tcPr>
          <w:p>
            <w:pPr>
              <w:spacing w:after="0"/>
              <w:rPr>
                <w:sz w:val="16"/>
                <w:szCs w:val="16"/>
                <w:color w:val="auto"/>
              </w:rPr>
            </w:pPr>
          </w:p>
        </w:tc>
        <w:tc>
          <w:tcPr>
            <w:tcW w:w="1260" w:type="dxa"/>
            <w:vAlign w:val="bottom"/>
            <w:shd w:val="clear" w:color="auto" w:fill="E4EDF1"/>
          </w:tcPr>
          <w:p>
            <w:pPr>
              <w:spacing w:after="0"/>
              <w:rPr>
                <w:sz w:val="16"/>
                <w:szCs w:val="16"/>
                <w:color w:val="auto"/>
              </w:rPr>
            </w:pPr>
          </w:p>
        </w:tc>
        <w:tc>
          <w:tcPr>
            <w:tcW w:w="1140" w:type="dxa"/>
            <w:vAlign w:val="bottom"/>
            <w:shd w:val="clear" w:color="auto" w:fill="E4EDF1"/>
          </w:tcPr>
          <w:p>
            <w:pPr>
              <w:spacing w:after="0"/>
              <w:rPr>
                <w:sz w:val="16"/>
                <w:szCs w:val="16"/>
                <w:color w:val="auto"/>
              </w:rPr>
            </w:pPr>
          </w:p>
        </w:tc>
        <w:tc>
          <w:tcPr>
            <w:tcW w:w="1120" w:type="dxa"/>
            <w:vAlign w:val="bottom"/>
            <w:shd w:val="clear" w:color="auto" w:fill="E4EDF1"/>
          </w:tcPr>
          <w:p>
            <w:pPr>
              <w:jc w:val="center"/>
              <w:spacing w:after="0" w:line="189" w:lineRule="exact"/>
              <w:rPr>
                <w:sz w:val="20"/>
                <w:szCs w:val="20"/>
                <w:color w:val="auto"/>
              </w:rPr>
            </w:pPr>
            <w:r>
              <w:rPr>
                <w:rFonts w:ascii="Arial" w:cs="Arial" w:eastAsia="Arial" w:hAnsi="Arial"/>
                <w:sz w:val="21"/>
                <w:szCs w:val="21"/>
                <w:color w:val="auto"/>
                <w:vertAlign w:val="subscript"/>
              </w:rPr>
              <w:t>X</w:t>
            </w:r>
            <w:r>
              <w:rPr>
                <w:rFonts w:ascii="Arial" w:cs="Arial" w:eastAsia="Arial" w:hAnsi="Arial"/>
                <w:sz w:val="9"/>
                <w:szCs w:val="9"/>
                <w:color w:val="auto"/>
              </w:rPr>
              <w:t>*</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Phillip Schneider</w:t>
            </w:r>
          </w:p>
        </w:tc>
        <w:tc>
          <w:tcPr>
            <w:tcW w:w="1200" w:type="dxa"/>
            <w:vAlign w:val="bottom"/>
          </w:tcPr>
          <w:p>
            <w:pPr>
              <w:jc w:val="center"/>
              <w:ind w:left="28"/>
              <w:spacing w:after="0" w:line="189" w:lineRule="exact"/>
              <w:rPr>
                <w:sz w:val="20"/>
                <w:szCs w:val="20"/>
                <w:color w:val="auto"/>
              </w:rPr>
            </w:pPr>
            <w:r>
              <w:rPr>
                <w:rFonts w:ascii="Arial" w:cs="Arial" w:eastAsia="Arial" w:hAnsi="Arial"/>
                <w:sz w:val="21"/>
                <w:szCs w:val="21"/>
                <w:color w:val="auto"/>
                <w:vertAlign w:val="subscript"/>
              </w:rPr>
              <w:t>X</w:t>
            </w:r>
            <w:r>
              <w:rPr>
                <w:rFonts w:ascii="Arial" w:cs="Arial" w:eastAsia="Arial" w:hAnsi="Arial"/>
                <w:sz w:val="9"/>
                <w:szCs w:val="9"/>
                <w:color w:val="auto"/>
              </w:rPr>
              <w:t>*+</w:t>
            </w:r>
          </w:p>
        </w:tc>
        <w:tc>
          <w:tcPr>
            <w:tcW w:w="1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120" w:type="dxa"/>
            <w:vAlign w:val="bottom"/>
          </w:tcPr>
          <w:p>
            <w:pPr>
              <w:spacing w:after="0"/>
              <w:rPr>
                <w:sz w:val="16"/>
                <w:szCs w:val="16"/>
                <w:color w:val="auto"/>
              </w:rPr>
            </w:pPr>
          </w:p>
        </w:tc>
      </w:tr>
      <w:tr>
        <w:trPr>
          <w:trHeight w:val="189"/>
        </w:trPr>
        <w:tc>
          <w:tcPr>
            <w:tcW w:w="3700" w:type="dxa"/>
            <w:vAlign w:val="bottom"/>
            <w:shd w:val="clear" w:color="auto" w:fill="E4EDF1"/>
          </w:tcPr>
          <w:p>
            <w:pPr>
              <w:spacing w:after="0"/>
              <w:rPr>
                <w:sz w:val="20"/>
                <w:szCs w:val="20"/>
                <w:color w:val="auto"/>
              </w:rPr>
            </w:pPr>
            <w:r>
              <w:rPr>
                <w:rFonts w:ascii="Arial" w:cs="Arial" w:eastAsia="Arial" w:hAnsi="Arial"/>
                <w:sz w:val="16"/>
                <w:szCs w:val="16"/>
                <w:color w:val="auto"/>
              </w:rPr>
              <w:t>Pratik Shah, Ph.D.</w:t>
            </w:r>
          </w:p>
        </w:tc>
        <w:tc>
          <w:tcPr>
            <w:tcW w:w="1200" w:type="dxa"/>
            <w:vAlign w:val="bottom"/>
            <w:shd w:val="clear" w:color="auto" w:fill="E4EDF1"/>
          </w:tcPr>
          <w:p>
            <w:pPr>
              <w:spacing w:after="0"/>
              <w:rPr>
                <w:sz w:val="16"/>
                <w:szCs w:val="16"/>
                <w:color w:val="auto"/>
              </w:rPr>
            </w:pPr>
          </w:p>
        </w:tc>
        <w:tc>
          <w:tcPr>
            <w:tcW w:w="1260" w:type="dxa"/>
            <w:vAlign w:val="bottom"/>
            <w:shd w:val="clear" w:color="auto" w:fill="E4EDF1"/>
          </w:tcPr>
          <w:p>
            <w:pPr>
              <w:spacing w:after="0"/>
              <w:rPr>
                <w:sz w:val="16"/>
                <w:szCs w:val="16"/>
                <w:color w:val="auto"/>
              </w:rPr>
            </w:pPr>
          </w:p>
        </w:tc>
        <w:tc>
          <w:tcPr>
            <w:tcW w:w="1140" w:type="dxa"/>
            <w:vAlign w:val="bottom"/>
            <w:shd w:val="clear" w:color="auto" w:fill="E4EDF1"/>
          </w:tcPr>
          <w:p>
            <w:pPr>
              <w:spacing w:after="0"/>
              <w:rPr>
                <w:sz w:val="16"/>
                <w:szCs w:val="16"/>
                <w:color w:val="auto"/>
              </w:rPr>
            </w:pPr>
          </w:p>
        </w:tc>
        <w:tc>
          <w:tcPr>
            <w:tcW w:w="1120" w:type="dxa"/>
            <w:vAlign w:val="bottom"/>
            <w:shd w:val="clear" w:color="auto" w:fill="E4EDF1"/>
          </w:tcPr>
          <w:p>
            <w:pPr>
              <w:spacing w:after="0"/>
              <w:rPr>
                <w:sz w:val="16"/>
                <w:szCs w:val="16"/>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Laura Shawver, Ph.D.</w:t>
            </w:r>
          </w:p>
        </w:tc>
        <w:tc>
          <w:tcPr>
            <w:tcW w:w="120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X</w:t>
            </w:r>
            <w:r>
              <w:rPr>
                <w:rFonts w:ascii="Arial" w:cs="Arial" w:eastAsia="Arial" w:hAnsi="Arial"/>
                <w:sz w:val="9"/>
                <w:szCs w:val="9"/>
                <w:color w:val="auto"/>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3700" w:type="dxa"/>
            <w:vAlign w:val="bottom"/>
            <w:shd w:val="clear" w:color="auto" w:fill="E4EDF1"/>
          </w:tcPr>
          <w:p>
            <w:pPr>
              <w:spacing w:after="0"/>
              <w:rPr>
                <w:sz w:val="20"/>
                <w:szCs w:val="20"/>
                <w:color w:val="auto"/>
              </w:rPr>
            </w:pPr>
            <w:r>
              <w:rPr>
                <w:rFonts w:ascii="Arial" w:cs="Arial" w:eastAsia="Arial" w:hAnsi="Arial"/>
                <w:sz w:val="16"/>
                <w:szCs w:val="16"/>
                <w:color w:val="auto"/>
              </w:rPr>
              <w:t>Peter A Thompson, M.D.</w:t>
            </w:r>
          </w:p>
        </w:tc>
        <w:tc>
          <w:tcPr>
            <w:tcW w:w="1200" w:type="dxa"/>
            <w:vAlign w:val="bottom"/>
            <w:shd w:val="clear" w:color="auto" w:fill="E4EDF1"/>
          </w:tcPr>
          <w:p>
            <w:pPr>
              <w:spacing w:after="0"/>
              <w:rPr>
                <w:sz w:val="16"/>
                <w:szCs w:val="16"/>
                <w:color w:val="auto"/>
              </w:rPr>
            </w:pPr>
          </w:p>
        </w:tc>
        <w:tc>
          <w:tcPr>
            <w:tcW w:w="126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3"/>
              </w:rPr>
              <w:t>X</w:t>
            </w:r>
          </w:p>
        </w:tc>
        <w:tc>
          <w:tcPr>
            <w:tcW w:w="1140" w:type="dxa"/>
            <w:vAlign w:val="bottom"/>
            <w:shd w:val="clear" w:color="auto" w:fill="E4EDF1"/>
          </w:tcPr>
          <w:p>
            <w:pPr>
              <w:spacing w:after="0"/>
              <w:rPr>
                <w:sz w:val="16"/>
                <w:szCs w:val="16"/>
                <w:color w:val="auto"/>
              </w:rPr>
            </w:pPr>
          </w:p>
        </w:tc>
        <w:tc>
          <w:tcPr>
            <w:tcW w:w="1120" w:type="dxa"/>
            <w:vAlign w:val="bottom"/>
            <w:shd w:val="clear" w:color="auto" w:fill="E4EDF1"/>
          </w:tcPr>
          <w:p>
            <w:pPr>
              <w:spacing w:after="0"/>
              <w:rPr>
                <w:sz w:val="16"/>
                <w:szCs w:val="16"/>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6"/>
                <w:szCs w:val="16"/>
                <w:b w:val="1"/>
                <w:bCs w:val="1"/>
                <w:color w:val="auto"/>
              </w:rPr>
              <w:t>Total meetings in 2025</w:t>
            </w:r>
          </w:p>
        </w:tc>
        <w:tc>
          <w:tcPr>
            <w:tcW w:w="1200" w:type="dxa"/>
            <w:vAlign w:val="bottom"/>
          </w:tcPr>
          <w:p>
            <w:pPr>
              <w:jc w:val="center"/>
              <w:ind w:left="28"/>
              <w:spacing w:after="0"/>
              <w:rPr>
                <w:sz w:val="20"/>
                <w:szCs w:val="20"/>
                <w:color w:val="auto"/>
              </w:rPr>
            </w:pPr>
            <w:r>
              <w:rPr>
                <w:rFonts w:ascii="Arial" w:cs="Arial" w:eastAsia="Arial" w:hAnsi="Arial"/>
                <w:sz w:val="16"/>
                <w:szCs w:val="16"/>
                <w:b w:val="1"/>
                <w:bCs w:val="1"/>
                <w:color w:val="auto"/>
              </w:rPr>
              <w:t>4</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4</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124460</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4" w:lineRule="exact"/>
        <w:rPr>
          <w:sz w:val="20"/>
          <w:szCs w:val="20"/>
          <w:color w:val="auto"/>
        </w:rPr>
      </w:pPr>
    </w:p>
    <w:p>
      <w:pPr>
        <w:ind w:left="1060" w:hanging="327"/>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Committee Chairperson</w:t>
      </w:r>
    </w:p>
    <w:p>
      <w:pPr>
        <w:spacing w:after="0" w:line="55" w:lineRule="exact"/>
        <w:rPr>
          <w:sz w:val="20"/>
          <w:szCs w:val="20"/>
          <w:color w:val="auto"/>
        </w:rPr>
      </w:pPr>
    </w:p>
    <w:p>
      <w:pPr>
        <w:ind w:left="1060" w:hanging="327"/>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Financial Expert, as defined by section 407 of the Sarbanes-Oxley Act of 2002</w:t>
      </w:r>
    </w:p>
    <w:p>
      <w:pPr>
        <w:spacing w:after="0" w:line="55" w:lineRule="exact"/>
        <w:rPr>
          <w:sz w:val="20"/>
          <w:szCs w:val="20"/>
          <w:color w:val="auto"/>
        </w:rPr>
      </w:pPr>
    </w:p>
    <w:p>
      <w:pPr>
        <w:ind w:left="1180" w:hanging="447"/>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Dr. Shawver was appointed to the Compensation Committee in September 2025.</w:t>
      </w:r>
    </w:p>
    <w:p>
      <w:pPr>
        <w:spacing w:after="0" w:line="207"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Each of the committees has authority to engage legal counsel or other experts or consultants, as it deems appropriate to carry out its responsibilities. The Board has determined that each member of the Audit Committee, Compensation Committee and Nominating and Corporate Governance Committee meets the applicable Nasdaq rules and regulations regarding “independence” and that each member is free of any relationship that would impair his or her individual exercise of independent judgment with regard to us.</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Below is a description of each committee of the Board.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Audit Committee</w:t>
      </w:r>
    </w:p>
    <w:p>
      <w:pPr>
        <w:spacing w:after="0" w:line="123"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Audit Committee of the Board of Directors was established by the Board in accordance with Section 3(a)(58)(A) of the Exchange Act, to oversee our corporate accounting and financial reporting processes and audits of our financial statements. For this purpose, the Audit Committee performs several functions which include, among other things:</w:t>
      </w:r>
    </w:p>
    <w:p>
      <w:pPr>
        <w:spacing w:after="0" w:line="66" w:lineRule="exact"/>
        <w:rPr>
          <w:sz w:val="20"/>
          <w:szCs w:val="20"/>
          <w:color w:val="auto"/>
        </w:rPr>
      </w:pPr>
    </w:p>
    <w:p>
      <w:pPr>
        <w:jc w:val="both"/>
        <w:ind w:left="1180" w:right="299" w:hanging="448"/>
        <w:spacing w:after="0" w:line="252"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performance, independence and qualifications of our independent auditors and determining whether to retain our existing independent auditors or engage new independent auditors;</w:t>
      </w:r>
    </w:p>
    <w:p>
      <w:pPr>
        <w:spacing w:after="0" w:line="62"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the engagement of our independent auditors to perform audit services and any permissible non-audit services;</w:t>
      </w:r>
    </w:p>
    <w:p>
      <w:pPr>
        <w:spacing w:after="0" w:line="46"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the rotation of partners of our independent auditors on our engagement team as required by law;</w:t>
      </w:r>
    </w:p>
    <w:p>
      <w:pPr>
        <w:spacing w:after="0" w:line="46" w:lineRule="exact"/>
        <w:rPr>
          <w:rFonts w:ascii="Times New Roman" w:cs="Times New Roman" w:eastAsia="Times New Roman" w:hAnsi="Times New Roman"/>
          <w:sz w:val="18"/>
          <w:szCs w:val="18"/>
          <w:color w:val="auto"/>
        </w:rPr>
      </w:pPr>
    </w:p>
    <w:p>
      <w:pPr>
        <w:jc w:val="both"/>
        <w:ind w:left="1180" w:right="299" w:hanging="448"/>
        <w:spacing w:after="0" w:line="246"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68" w:lineRule="exact"/>
        <w:rPr>
          <w:rFonts w:ascii="Times New Roman" w:cs="Times New Roman" w:eastAsia="Times New Roman" w:hAnsi="Times New Roman"/>
          <w:sz w:val="18"/>
          <w:szCs w:val="18"/>
          <w:color w:val="auto"/>
        </w:rPr>
      </w:pPr>
    </w:p>
    <w:p>
      <w:pPr>
        <w:jc w:val="both"/>
        <w:ind w:left="1180" w:right="299" w:hanging="448"/>
        <w:spacing w:after="0" w:line="246"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pacing w:after="0" w:line="68"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62"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with management and our independent auditors any earnings announcements and other public announcements regarding material developments;</w:t>
      </w:r>
    </w:p>
    <w:p>
      <w:pPr>
        <w:spacing w:after="0" w:line="4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or auditing matters and other matters;</w:t>
      </w:r>
    </w:p>
    <w:p>
      <w:pPr>
        <w:spacing w:after="0" w:line="4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report that the SEC requires in our annual proxy statement;</w:t>
      </w:r>
    </w:p>
    <w:p>
      <w:pPr>
        <w:spacing w:after="0" w:line="116" w:lineRule="exact"/>
        <w:rPr>
          <w:rFonts w:ascii="Times New Roman" w:cs="Times New Roman" w:eastAsia="Times New Roman" w:hAnsi="Times New Roman"/>
          <w:sz w:val="18"/>
          <w:szCs w:val="18"/>
          <w:color w:val="auto"/>
        </w:rPr>
      </w:pPr>
    </w:p>
    <w:p>
      <w:pPr>
        <w:jc w:val="both"/>
        <w:ind w:left="1180" w:right="319" w:hanging="448"/>
        <w:spacing w:after="0" w:line="252"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providing oversight of any related-person transactions in accordance with our related person transaction policy and reviewing and monitoring compliance with legal and regulatory responsibilities, including our code of business conduct and ethics;</w:t>
      </w:r>
    </w:p>
    <w:p>
      <w:pPr>
        <w:spacing w:after="0" w:line="62"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our major financial risk exposures, including the guidelines and policies to govern the process by which risk assessment and risk management are implemented;</w:t>
      </w:r>
    </w:p>
    <w:p>
      <w:pPr>
        <w:spacing w:after="0" w:line="46" w:lineRule="exact"/>
        <w:rPr>
          <w:rFonts w:ascii="Times New Roman" w:cs="Times New Roman" w:eastAsia="Times New Roman" w:hAnsi="Times New Roman"/>
          <w:sz w:val="18"/>
          <w:szCs w:val="18"/>
          <w:color w:val="auto"/>
        </w:rPr>
      </w:pPr>
    </w:p>
    <w:p>
      <w:pPr>
        <w:jc w:val="both"/>
        <w:ind w:left="1180" w:right="299" w:hanging="448"/>
        <w:spacing w:after="0" w:line="243"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with management material risks relating to data privacy, technology and information security, including cybersecurity, threats and back-up of information systems and the Company’s processes for assessing, identifying, and managing such risks, as well as the Company’s internal controls and disclosure controls and procedures relating to cybersecurity incidents;</w:t>
      </w:r>
    </w:p>
    <w:p>
      <w:pPr>
        <w:spacing w:after="0" w:line="71"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on a periodic basis our investment policy; and</w:t>
      </w:r>
    </w:p>
    <w:p>
      <w:pPr>
        <w:spacing w:after="0" w:line="116"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jc w:val="both"/>
        <w:ind w:left="300" w:right="299" w:firstLine="441"/>
        <w:spacing w:after="0"/>
        <w:rPr>
          <w:sz w:val="20"/>
          <w:szCs w:val="20"/>
          <w:color w:val="auto"/>
        </w:rPr>
      </w:pPr>
      <w:r>
        <w:rPr>
          <w:rFonts w:ascii="Arial" w:cs="Arial" w:eastAsia="Arial" w:hAnsi="Arial"/>
          <w:sz w:val="18"/>
          <w:szCs w:val="18"/>
          <w:color w:val="auto"/>
        </w:rPr>
        <w:t>The current members of the Audit Committee are Mr. Schneider, Dr. Dadoo, and Mr. Kelly, with Mr. Schneider serving as the chair. Our Board of Directors has determined that each member of the Audit Committee is an independent director under Rule 5605(c)(2)(A)(i) and (ii) of the Nasdaq listing standards and under Rule 10A-3 under the Exchange Act. Each member of our Audit Committee can read and understand fundamental financial statements in accordance with Nasdaq audit committee requirements. In arriving at this determination, the Board of Directors has examined each Audit Committee member’s scope of experience and the nature of their employment in the corporate finance sector.</w:t>
      </w:r>
    </w:p>
    <w:p>
      <w:pPr>
        <w:spacing w:after="0" w:line="185"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Our Board of Directors has determined that Mr. Schneider qualifies as an Audit Committee financial expert within the meaning of SEC regulations and meets the financial sophistication requirements of the Nasdaq Listing Rules. In making this determination, our Board of Directors has considered Mr. Schneider’s formal education, his experience as a chief financial officer and his experience working with KPMG. Both our independent registered public accounting firm and management periodically meet privately with our Audit Committee.</w:t>
      </w:r>
    </w:p>
    <w:p>
      <w:pPr>
        <w:spacing w:after="0" w:line="179" w:lineRule="exact"/>
        <w:rPr>
          <w:sz w:val="20"/>
          <w:szCs w:val="20"/>
          <w:color w:val="auto"/>
        </w:rPr>
      </w:pPr>
    </w:p>
    <w:p>
      <w:pPr>
        <w:jc w:val="both"/>
        <w:ind w:left="300" w:right="299" w:firstLine="441"/>
        <w:spacing w:after="0" w:line="271" w:lineRule="auto"/>
        <w:rPr>
          <w:sz w:val="20"/>
          <w:szCs w:val="20"/>
          <w:color w:val="auto"/>
        </w:rPr>
      </w:pPr>
      <w:r>
        <w:rPr>
          <w:rFonts w:ascii="Arial" w:cs="Arial" w:eastAsia="Arial" w:hAnsi="Arial"/>
          <w:sz w:val="18"/>
          <w:szCs w:val="18"/>
          <w:color w:val="auto"/>
        </w:rPr>
        <w:t>The Audit Committee charter can be found on our website at www.ars-pharma.com in the Corporate Governance section.</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Report of the Audit Committee of the Board of Directors</w:t>
      </w:r>
    </w:p>
    <w:p>
      <w:pPr>
        <w:spacing w:after="0" w:line="108" w:lineRule="exact"/>
        <w:rPr>
          <w:sz w:val="20"/>
          <w:szCs w:val="20"/>
          <w:color w:val="auto"/>
        </w:rPr>
      </w:pPr>
    </w:p>
    <w:p>
      <w:pPr>
        <w:jc w:val="both"/>
        <w:ind w:left="300" w:right="299" w:firstLine="648"/>
        <w:spacing w:after="0" w:line="246"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75"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w:t>
      </w:r>
    </w:p>
    <w:p>
      <w:pPr>
        <w:spacing w:after="0" w:line="186"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Audit Committee</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Phillip Schneider, Chair</w:t>
      </w:r>
    </w:p>
    <w:p>
      <w:pPr>
        <w:ind w:left="3940"/>
        <w:spacing w:after="0" w:line="234" w:lineRule="auto"/>
        <w:rPr>
          <w:sz w:val="20"/>
          <w:szCs w:val="20"/>
          <w:color w:val="auto"/>
        </w:rPr>
      </w:pPr>
      <w:r>
        <w:rPr>
          <w:rFonts w:ascii="Arial" w:cs="Arial" w:eastAsia="Arial" w:hAnsi="Arial"/>
          <w:sz w:val="18"/>
          <w:szCs w:val="18"/>
          <w:color w:val="auto"/>
        </w:rPr>
        <w:t>Michael Kelly</w:t>
      </w:r>
    </w:p>
    <w:p>
      <w:pPr>
        <w:spacing w:after="0" w:line="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Rajeev Dadoo, Ph.D.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33" w:name="page34"/>
    <w:bookmarkEnd w:id="33"/>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Compensation Committee</w:t>
      </w:r>
    </w:p>
    <w:p>
      <w:pPr>
        <w:spacing w:after="0" w:line="123"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Our Compensation Committee currently consists of Mr. Islam, Dr. Thompson, and Dr. Shawver, with Mr. Islam serving as the chair. Our Board has determined that each of the members of our Compensation Committee is a non-employee director, as defined in Rule 16b-3 promulgated under the Exchange Act and satisfies the Nasdaq independence requirements. The Compensation Committee has a charter that is reviewed and updated annually, or as may be warranted from time to time. The functions of the Compensation Committee include, among other things:</w:t>
      </w:r>
    </w:p>
    <w:p>
      <w:pPr>
        <w:spacing w:after="0" w:line="71" w:lineRule="exact"/>
        <w:rPr>
          <w:sz w:val="20"/>
          <w:szCs w:val="20"/>
          <w:color w:val="auto"/>
        </w:rPr>
      </w:pPr>
    </w:p>
    <w:p>
      <w:pPr>
        <w:ind w:left="1180" w:right="319" w:hanging="448"/>
        <w:spacing w:after="0" w:line="270"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if it deems appropriate, making recommendations to the full Board regarding) our overall compensation strategy and policies;</w:t>
      </w:r>
    </w:p>
    <w:p>
      <w:pPr>
        <w:spacing w:after="0" w:line="46"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making recommendations to the full Board regarding the compensation and other terms of employment of our chief executive officer;</w:t>
      </w:r>
    </w:p>
    <w:p>
      <w:pPr>
        <w:spacing w:after="0" w:line="46"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if it deems it appropriate, making recommendations to the full Board regarding) performance goals and objectives relevant to the compensation of our executive officers and assessing their performance against these goals and objectives;</w:t>
      </w:r>
    </w:p>
    <w:p>
      <w:pPr>
        <w:spacing w:after="0" w:line="62"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if it deems it appropriate, making recommendations to the full Board regarding) the equity incentive plans, compensation plans and similar programs advisable for us, as well as modifying, amending or terminating existing plans and programs;</w:t>
      </w:r>
    </w:p>
    <w:p>
      <w:pPr>
        <w:spacing w:after="0" w:line="62"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62"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making recommendations to the full Board regarding the type and amount of compensation to be paid or awarded to our non-employee board members;</w:t>
      </w:r>
    </w:p>
    <w:p>
      <w:pPr>
        <w:spacing w:after="0" w:line="46"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policies with respect to votes by our stockholders to approve executive compensation as required by Section 14A of the Exchange Act and determining our recommendations regarding the frequency of advisory votes on executive compensation;</w:t>
      </w:r>
    </w:p>
    <w:p>
      <w:pPr>
        <w:spacing w:after="0" w:line="62"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4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administering our equity incentive plans;</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policies with respect to equity compensation arrangements;</w:t>
      </w:r>
    </w:p>
    <w:p>
      <w:pPr>
        <w:spacing w:after="0" w:line="11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46"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as appropriate, making recommendations to the full Board regarding) the terms of any employment agreements, severance arrangements, change in control protections and any other compensatory arrangements for our executive officers;</w:t>
      </w:r>
    </w:p>
    <w:p>
      <w:pPr>
        <w:spacing w:after="0" w:line="62"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62"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report that the SEC requires in our annual proxy statement; and</w:t>
      </w:r>
    </w:p>
    <w:p>
      <w:pPr>
        <w:spacing w:after="0" w:line="116"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assessing on an annual basis the performance of the Compensation Committee and the Compensation Committee charter.</w:t>
      </w:r>
    </w:p>
    <w:p>
      <w:pPr>
        <w:spacing w:after="0" w:line="154" w:lineRule="exact"/>
        <w:rPr>
          <w:sz w:val="20"/>
          <w:szCs w:val="20"/>
          <w:color w:val="auto"/>
        </w:rPr>
      </w:pPr>
    </w:p>
    <w:p>
      <w:pPr>
        <w:ind w:left="300" w:right="319" w:firstLine="441"/>
        <w:spacing w:after="0" w:line="271" w:lineRule="auto"/>
        <w:rPr>
          <w:sz w:val="20"/>
          <w:szCs w:val="20"/>
          <w:color w:val="auto"/>
        </w:rPr>
      </w:pPr>
      <w:r>
        <w:rPr>
          <w:rFonts w:ascii="Arial" w:cs="Arial" w:eastAsia="Arial" w:hAnsi="Arial"/>
          <w:sz w:val="18"/>
          <w:szCs w:val="18"/>
          <w:color w:val="auto"/>
        </w:rPr>
        <w:t>The Compensation Committee charter can be found on our website at www.ars-pharma.com in the Corporate Governance section.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Nominating and Corporate Governance Committee</w:t>
      </w:r>
    </w:p>
    <w:p>
      <w:pPr>
        <w:spacing w:after="0" w:line="123"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Our Nominating and Corporate Governance Committee currently consists of Dr. Kolchinsky and Mr. Schneider. Dr. Kolchinsky serves as the chair of our Nominating and Corporate Governance Committee. Our Board of Directors has determined that each of the members of this committee satisfies the Nasdaq independence requirements. The Nominating and Corporate Governance Committee has a charter that is reviewed and updated annually, or as may be warranted from time to time. The functions of this committee include, among other things:</w:t>
      </w:r>
    </w:p>
    <w:p>
      <w:pPr>
        <w:spacing w:after="0" w:line="71" w:lineRule="exact"/>
        <w:rPr>
          <w:sz w:val="20"/>
          <w:szCs w:val="20"/>
          <w:color w:val="auto"/>
        </w:rPr>
      </w:pPr>
    </w:p>
    <w:p>
      <w:pPr>
        <w:ind w:left="1180" w:right="319" w:hanging="448"/>
        <w:spacing w:after="0" w:line="270" w:lineRule="auto"/>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reviewing and evaluating candidates to serve on our Board consistent with criteria approved by our Board;</w:t>
      </w:r>
    </w:p>
    <w:p>
      <w:pPr>
        <w:spacing w:after="0" w:line="4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determining the minimum qualifications for service on our Board;</w:t>
      </w:r>
    </w:p>
    <w:p>
      <w:pPr>
        <w:spacing w:after="0" w:line="11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4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nominating and recommending individuals for membership on our Board;</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nominations by stockholders of candidates for election to our Board;</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considering and assessing the independence of members of our Board;</w:t>
      </w:r>
    </w:p>
    <w:p>
      <w:pPr>
        <w:spacing w:after="0" w:line="116"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set of corporate governance policies and principles, including a code of business conduct and ethics, periodically reviewing and assessing these policies and principles and their application and recommending to our Board any changes to such policies and principles;</w:t>
      </w:r>
    </w:p>
    <w:p>
      <w:pPr>
        <w:spacing w:after="0" w:line="62"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16" w:lineRule="exact"/>
        <w:rPr>
          <w:rFonts w:ascii="Times New Roman" w:cs="Times New Roman" w:eastAsia="Times New Roman" w:hAnsi="Times New Roman"/>
          <w:sz w:val="18"/>
          <w:szCs w:val="18"/>
          <w:color w:val="auto"/>
        </w:rPr>
      </w:pPr>
    </w:p>
    <w:p>
      <w:pPr>
        <w:ind w:left="1180" w:right="299" w:hanging="448"/>
        <w:spacing w:after="0" w:line="300" w:lineRule="auto"/>
        <w:tabs>
          <w:tab w:leader="none" w:pos="11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assessing on an annual basis the performance of the Nominating and Corporate Governance Committee and the Nominating and Corporate Governance Committee charter.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jc w:val="both"/>
        <w:ind w:left="300" w:right="299" w:firstLine="441"/>
        <w:spacing w:after="0" w:line="236" w:lineRule="auto"/>
        <w:rPr>
          <w:sz w:val="20"/>
          <w:szCs w:val="20"/>
          <w:color w:val="auto"/>
        </w:rPr>
      </w:pPr>
      <w:r>
        <w:rPr>
          <w:rFonts w:ascii="Arial" w:cs="Arial" w:eastAsia="Arial" w:hAnsi="Arial"/>
          <w:sz w:val="18"/>
          <w:szCs w:val="18"/>
          <w:color w:val="auto"/>
        </w:rPr>
        <w:t>The Nominating and Corporate Governance Committee believes that the candidates for director, both individually and collectively, have the integrity, experience, judgment, commitment (including having sufficient time to devote to us and level of participation), skills, diversity, and expertise appropriate for us. In assessing the directors, both individually and collectively, the Nominating and Corporate Governance Committee considers our current needs and the needs of the Board of Directors, to maintain a balance of thought, knowledge, experience, capability, skills, viewpoints, and backgrounds. The Nominating and Corporate Governance Committee retains the right to modify these qualifications from time to time. Candidates for director nominees are reviewed in the context of the current composition of the Board of Directors, our operating requirements, and the long-term interests of stockholders. In conducting this assessment, the Nominating and Corporate Governance Committee typically considers diversity (including with respect to thought, knowledge, experience, capability, skills, viewpoints and backgrounds), and such other factors as it deems appropriate given our current needs and the needs of the Board of Directors, to maintain a balance of knowledge, experience, and capability. In the case of incumbent directors whose terms of office are set to expire, the Nominating and Corporate Governance Committee reviews these directors’ overall service to us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Any search firm retained to assist the Nominating and Corporate Governance Committee in seeking candidates for the Board of Directors will be instructed to seek to include diverse candidates in terms of thought, knowledge, experience, capability, skills, viewpoints, and backgrounds from, among other areas, professional and academic areas relevant to the Company’s area of focus. In addition,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spacing w:after="0" w:line="185"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The Nominating and Corporate Governance Committee does not intend to alter the way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11682 El Camino Real, Suite 300, San Diego, California 92130, Attn: Secretary, no later than the 90th day and no earlier than the 120th day prior to the one year anniversary of the preceding year’s annual meeting. Submissions must include, among other things, (1) the name and address of the stockholder on whose behalf the submission is made; (2) number of our shares that are owned beneficially by such stockholder and the nominee as of the date of the submission; (3) the full name of the proposed candidate; (4) description of the proposed candidate’s business experience for at least the previous five years; (5) complete biographical information for the proposed candidate; and (6) a description of the proposed candidate’s qualifications as a director. We may require any proposed nominee to furnish such other information as we may reasonably require to determine the eligibility of such proposed nominee to serve as our independent director or that could be material to a reasonable stockholder’s understanding of the independence, or lack thereof, of such proposed nominee.</w:t>
      </w:r>
    </w:p>
    <w:p>
      <w:pPr>
        <w:spacing w:after="0" w:line="182" w:lineRule="exact"/>
        <w:rPr>
          <w:sz w:val="20"/>
          <w:szCs w:val="20"/>
          <w:color w:val="auto"/>
        </w:rPr>
      </w:pPr>
    </w:p>
    <w:p>
      <w:pPr>
        <w:jc w:val="both"/>
        <w:ind w:left="300" w:right="319" w:firstLine="441"/>
        <w:spacing w:after="0" w:line="271" w:lineRule="auto"/>
        <w:rPr>
          <w:sz w:val="20"/>
          <w:szCs w:val="20"/>
          <w:color w:val="auto"/>
        </w:rPr>
      </w:pPr>
      <w:r>
        <w:rPr>
          <w:rFonts w:ascii="Arial" w:cs="Arial" w:eastAsia="Arial" w:hAnsi="Arial"/>
          <w:sz w:val="18"/>
          <w:szCs w:val="18"/>
          <w:color w:val="auto"/>
        </w:rPr>
        <w:t>The Nominating and Corporate Governance Committee charter can be found on our website at www.ars-pharma.com in the Corporate Governance section.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36" w:name="page37"/>
    <w:bookmarkEnd w:id="36"/>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Commercial Committee</w:t>
      </w:r>
    </w:p>
    <w:p>
      <w:pPr>
        <w:spacing w:after="0" w:line="123"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Our Commercial Committee currently consists of Mr. Saunders and Mr. Kelly. Mr. Saunders serves as the chair of our Commercial Committee. The Commercial Committee has a charter that is reviewed and updated annually, or as may be warranted from time to time. The functions of this committee include, among other things:</w:t>
      </w:r>
    </w:p>
    <w:p>
      <w:pPr>
        <w:spacing w:after="0" w:line="66" w:lineRule="exact"/>
        <w:rPr>
          <w:sz w:val="20"/>
          <w:szCs w:val="20"/>
          <w:color w:val="auto"/>
        </w:rPr>
      </w:pPr>
    </w:p>
    <w:p>
      <w:pPr>
        <w:jc w:val="both"/>
        <w:ind w:left="1180" w:right="299" w:hanging="448"/>
        <w:spacing w:after="0" w:line="246" w:lineRule="auto"/>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providing management with advice on the Company’s commercialization strategy and results in the context of the overall corporate strategy, goals and objectives, including the progress and effectiveness of the Company’s proposed and ongoing commercialization activities;</w:t>
      </w:r>
    </w:p>
    <w:p>
      <w:pPr>
        <w:spacing w:after="0" w:line="68"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overall commercialization strategy of the Company as put forward by management and providing input and reporting to the Board regarding such review;</w:t>
      </w:r>
    </w:p>
    <w:p>
      <w:pPr>
        <w:spacing w:after="0" w:line="4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assisting the Board and management in evaluating and overseeing the Company’s product commercialization plans and efforts;</w:t>
      </w:r>
    </w:p>
    <w:p>
      <w:pPr>
        <w:spacing w:after="0" w:line="4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competitive landscape and provide input to help assess the impact of the competitive landscape on the Company’s commercialization plans;</w:t>
      </w:r>
    </w:p>
    <w:p>
      <w:pPr>
        <w:spacing w:after="0" w:line="46"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assessing management’s prioritization decisions regarding the allocation, deployment, utilization of and investment in the Company’s products and go-to-market capabilities;</w:t>
      </w:r>
    </w:p>
    <w:p>
      <w:pPr>
        <w:spacing w:after="0" w:line="62"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of the Company’s healthcare compliance programs; and</w:t>
      </w:r>
    </w:p>
    <w:p>
      <w:pPr>
        <w:spacing w:after="0" w:line="116" w:lineRule="exact"/>
        <w:rPr>
          <w:rFonts w:ascii="Times New Roman" w:cs="Times New Roman" w:eastAsia="Times New Roman" w:hAnsi="Times New Roman"/>
          <w:sz w:val="18"/>
          <w:szCs w:val="18"/>
          <w:color w:val="auto"/>
        </w:rPr>
      </w:pPr>
    </w:p>
    <w:p>
      <w:pPr>
        <w:ind w:left="1180" w:right="319" w:hanging="448"/>
        <w:spacing w:after="0" w:line="270" w:lineRule="auto"/>
        <w:tabs>
          <w:tab w:leader="none" w:pos="11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to the overall Board on current management plans and strategy as well as recommendations for any modifications or areas for improvement.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Executive Officers</w:t>
      </w:r>
    </w:p>
    <w:p>
      <w:pPr>
        <w:spacing w:after="0" w:line="237" w:lineRule="exact"/>
        <w:rPr>
          <w:sz w:val="20"/>
          <w:szCs w:val="20"/>
          <w:color w:val="auto"/>
        </w:rPr>
      </w:pPr>
    </w:p>
    <w:p>
      <w:pPr>
        <w:ind w:left="300" w:right="299" w:firstLine="324"/>
        <w:spacing w:after="0" w:line="271" w:lineRule="auto"/>
        <w:rPr>
          <w:sz w:val="20"/>
          <w:szCs w:val="20"/>
          <w:color w:val="auto"/>
        </w:rPr>
      </w:pPr>
      <w:r>
        <w:rPr>
          <w:rFonts w:ascii="Arial" w:cs="Arial" w:eastAsia="Arial" w:hAnsi="Arial"/>
          <w:sz w:val="18"/>
          <w:szCs w:val="18"/>
          <w:color w:val="auto"/>
        </w:rPr>
        <w:t>The following table sets forth information regarding our executive officers as of the date of this proxy statement.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300" w:type="dxa"/>
            <w:vAlign w:val="bottom"/>
            <w:tcBorders>
              <w:bottom w:val="single" w:sz="8" w:color="C3D041"/>
            </w:tcBorders>
            <w:shd w:val="clear" w:color="auto" w:fill="0B4B73"/>
          </w:tcPr>
          <w:p>
            <w:pPr>
              <w:ind w:left="1840"/>
              <w:spacing w:after="0"/>
              <w:rPr>
                <w:sz w:val="20"/>
                <w:szCs w:val="20"/>
                <w:color w:val="auto"/>
              </w:rPr>
            </w:pPr>
            <w:r>
              <w:rPr>
                <w:rFonts w:ascii="Arial" w:cs="Arial" w:eastAsia="Arial" w:hAnsi="Arial"/>
                <w:sz w:val="14"/>
                <w:szCs w:val="14"/>
                <w:b w:val="1"/>
                <w:bCs w:val="1"/>
                <w:color w:val="FFFFFF"/>
              </w:rPr>
              <w:t>Name</w:t>
            </w:r>
          </w:p>
        </w:tc>
        <w:tc>
          <w:tcPr>
            <w:tcW w:w="5120" w:type="dxa"/>
            <w:vAlign w:val="bottom"/>
            <w:tcBorders>
              <w:bottom w:val="single" w:sz="8" w:color="C3D041"/>
            </w:tcBorders>
            <w:shd w:val="clear" w:color="auto" w:fill="0B4B73"/>
          </w:tcPr>
          <w:p>
            <w:pPr>
              <w:ind w:left="2680"/>
              <w:spacing w:after="0"/>
              <w:rPr>
                <w:sz w:val="20"/>
                <w:szCs w:val="20"/>
                <w:color w:val="auto"/>
              </w:rPr>
            </w:pPr>
            <w:r>
              <w:rPr>
                <w:rFonts w:ascii="Arial" w:cs="Arial" w:eastAsia="Arial" w:hAnsi="Arial"/>
                <w:sz w:val="14"/>
                <w:szCs w:val="14"/>
                <w:b w:val="1"/>
                <w:bCs w:val="1"/>
                <w:color w:val="FFFFFF"/>
              </w:rPr>
              <w:t>Position(s)</w:t>
            </w:r>
          </w:p>
        </w:tc>
      </w:tr>
      <w:tr>
        <w:trPr>
          <w:trHeight w:val="189"/>
        </w:trPr>
        <w:tc>
          <w:tcPr>
            <w:tcW w:w="3300" w:type="dxa"/>
            <w:vAlign w:val="bottom"/>
            <w:shd w:val="clear" w:color="auto" w:fill="E4EDF1"/>
          </w:tcPr>
          <w:p>
            <w:pPr>
              <w:spacing w:after="0"/>
              <w:rPr>
                <w:sz w:val="20"/>
                <w:szCs w:val="20"/>
                <w:color w:val="auto"/>
              </w:rPr>
            </w:pPr>
            <w:r>
              <w:rPr>
                <w:rFonts w:ascii="Arial" w:cs="Arial" w:eastAsia="Arial" w:hAnsi="Arial"/>
                <w:sz w:val="16"/>
                <w:szCs w:val="16"/>
                <w:color w:val="auto"/>
              </w:rPr>
              <w:t>Richard Lowenthal, M.S., MSEL</w:t>
            </w:r>
          </w:p>
        </w:tc>
        <w:tc>
          <w:tcPr>
            <w:tcW w:w="5120" w:type="dxa"/>
            <w:vAlign w:val="bottom"/>
            <w:shd w:val="clear" w:color="auto" w:fill="E4EDF1"/>
          </w:tcPr>
          <w:p>
            <w:pPr>
              <w:ind w:left="1020"/>
              <w:spacing w:after="0"/>
              <w:rPr>
                <w:sz w:val="20"/>
                <w:szCs w:val="20"/>
                <w:color w:val="auto"/>
              </w:rPr>
            </w:pPr>
            <w:r>
              <w:rPr>
                <w:rFonts w:ascii="Arial" w:cs="Arial" w:eastAsia="Arial" w:hAnsi="Arial"/>
                <w:sz w:val="16"/>
                <w:szCs w:val="16"/>
                <w:color w:val="auto"/>
              </w:rPr>
              <w:t>President and Chief Executive Officer</w:t>
            </w:r>
          </w:p>
        </w:tc>
      </w:tr>
      <w:tr>
        <w:trPr>
          <w:trHeight w:val="189"/>
        </w:trPr>
        <w:tc>
          <w:tcPr>
            <w:tcW w:w="3300" w:type="dxa"/>
            <w:vAlign w:val="bottom"/>
          </w:tcPr>
          <w:p>
            <w:pPr>
              <w:spacing w:after="0"/>
              <w:rPr>
                <w:sz w:val="20"/>
                <w:szCs w:val="20"/>
                <w:color w:val="auto"/>
              </w:rPr>
            </w:pPr>
            <w:r>
              <w:rPr>
                <w:rFonts w:ascii="Arial" w:cs="Arial" w:eastAsia="Arial" w:hAnsi="Arial"/>
                <w:sz w:val="16"/>
                <w:szCs w:val="16"/>
                <w:color w:val="auto"/>
              </w:rPr>
              <w:t>Kathleen D. Scott</w:t>
            </w:r>
          </w:p>
        </w:tc>
        <w:tc>
          <w:tcPr>
            <w:tcW w:w="5120" w:type="dxa"/>
            <w:vAlign w:val="bottom"/>
          </w:tcPr>
          <w:p>
            <w:pPr>
              <w:ind w:left="1020"/>
              <w:spacing w:after="0"/>
              <w:rPr>
                <w:sz w:val="20"/>
                <w:szCs w:val="20"/>
                <w:color w:val="auto"/>
              </w:rPr>
            </w:pPr>
            <w:r>
              <w:rPr>
                <w:rFonts w:ascii="Arial" w:cs="Arial" w:eastAsia="Arial" w:hAnsi="Arial"/>
                <w:sz w:val="16"/>
                <w:szCs w:val="16"/>
                <w:color w:val="auto"/>
              </w:rPr>
              <w:t>Chief Financial Officer</w:t>
            </w:r>
          </w:p>
        </w:tc>
      </w:tr>
      <w:tr>
        <w:trPr>
          <w:trHeight w:val="189"/>
        </w:trPr>
        <w:tc>
          <w:tcPr>
            <w:tcW w:w="3300" w:type="dxa"/>
            <w:vAlign w:val="bottom"/>
            <w:shd w:val="clear" w:color="auto" w:fill="E4EDF1"/>
          </w:tcPr>
          <w:p>
            <w:pPr>
              <w:spacing w:after="0"/>
              <w:rPr>
                <w:sz w:val="20"/>
                <w:szCs w:val="20"/>
                <w:color w:val="auto"/>
              </w:rPr>
            </w:pPr>
            <w:r>
              <w:rPr>
                <w:rFonts w:ascii="Arial" w:cs="Arial" w:eastAsia="Arial" w:hAnsi="Arial"/>
                <w:sz w:val="16"/>
                <w:szCs w:val="16"/>
                <w:color w:val="auto"/>
              </w:rPr>
              <w:t>Sarina Tanimoto, M.D., M.B.A.</w:t>
            </w:r>
          </w:p>
        </w:tc>
        <w:tc>
          <w:tcPr>
            <w:tcW w:w="5120" w:type="dxa"/>
            <w:vAlign w:val="bottom"/>
            <w:shd w:val="clear" w:color="auto" w:fill="E4EDF1"/>
          </w:tcPr>
          <w:p>
            <w:pPr>
              <w:ind w:left="1020"/>
              <w:spacing w:after="0"/>
              <w:rPr>
                <w:sz w:val="20"/>
                <w:szCs w:val="20"/>
                <w:color w:val="auto"/>
              </w:rPr>
            </w:pPr>
            <w:r>
              <w:rPr>
                <w:rFonts w:ascii="Arial" w:cs="Arial" w:eastAsia="Arial" w:hAnsi="Arial"/>
                <w:sz w:val="16"/>
                <w:szCs w:val="16"/>
                <w:color w:val="auto"/>
              </w:rPr>
              <w:t>Chief Medical Officer</w:t>
            </w:r>
          </w:p>
        </w:tc>
      </w:tr>
      <w:tr>
        <w:trPr>
          <w:trHeight w:val="189"/>
        </w:trPr>
        <w:tc>
          <w:tcPr>
            <w:tcW w:w="3300" w:type="dxa"/>
            <w:vAlign w:val="bottom"/>
          </w:tcPr>
          <w:p>
            <w:pPr>
              <w:spacing w:after="0"/>
              <w:rPr>
                <w:sz w:val="20"/>
                <w:szCs w:val="20"/>
                <w:color w:val="auto"/>
              </w:rPr>
            </w:pPr>
            <w:r>
              <w:rPr>
                <w:rFonts w:ascii="Arial" w:cs="Arial" w:eastAsia="Arial" w:hAnsi="Arial"/>
                <w:sz w:val="16"/>
                <w:szCs w:val="16"/>
                <w:color w:val="auto"/>
              </w:rPr>
              <w:t>Eric Karas</w:t>
            </w:r>
          </w:p>
        </w:tc>
        <w:tc>
          <w:tcPr>
            <w:tcW w:w="5120" w:type="dxa"/>
            <w:vAlign w:val="bottom"/>
          </w:tcPr>
          <w:p>
            <w:pPr>
              <w:ind w:left="1020"/>
              <w:spacing w:after="0"/>
              <w:rPr>
                <w:sz w:val="20"/>
                <w:szCs w:val="20"/>
                <w:color w:val="auto"/>
              </w:rPr>
            </w:pPr>
            <w:r>
              <w:rPr>
                <w:rFonts w:ascii="Arial" w:cs="Arial" w:eastAsia="Arial" w:hAnsi="Arial"/>
                <w:sz w:val="16"/>
                <w:szCs w:val="16"/>
                <w:color w:val="auto"/>
              </w:rPr>
              <w:t>Chief Commercial Officer</w:t>
            </w:r>
          </w:p>
        </w:tc>
      </w:tr>
      <w:tr>
        <w:trPr>
          <w:trHeight w:val="189"/>
        </w:trPr>
        <w:tc>
          <w:tcPr>
            <w:tcW w:w="3300" w:type="dxa"/>
            <w:vAlign w:val="bottom"/>
            <w:shd w:val="clear" w:color="auto" w:fill="E4EDF1"/>
          </w:tcPr>
          <w:p>
            <w:pPr>
              <w:spacing w:after="0"/>
              <w:rPr>
                <w:sz w:val="20"/>
                <w:szCs w:val="20"/>
                <w:color w:val="auto"/>
              </w:rPr>
            </w:pPr>
            <w:r>
              <w:rPr>
                <w:rFonts w:ascii="Arial" w:cs="Arial" w:eastAsia="Arial" w:hAnsi="Arial"/>
                <w:sz w:val="16"/>
                <w:szCs w:val="16"/>
                <w:color w:val="auto"/>
              </w:rPr>
              <w:t>Justin Chakma</w:t>
            </w:r>
          </w:p>
        </w:tc>
        <w:tc>
          <w:tcPr>
            <w:tcW w:w="5120" w:type="dxa"/>
            <w:vAlign w:val="bottom"/>
            <w:shd w:val="clear" w:color="auto" w:fill="E4EDF1"/>
          </w:tcPr>
          <w:p>
            <w:pPr>
              <w:ind w:left="1020"/>
              <w:spacing w:after="0"/>
              <w:rPr>
                <w:sz w:val="20"/>
                <w:szCs w:val="20"/>
                <w:color w:val="auto"/>
              </w:rPr>
            </w:pPr>
            <w:r>
              <w:rPr>
                <w:rFonts w:ascii="Arial" w:cs="Arial" w:eastAsia="Arial" w:hAnsi="Arial"/>
                <w:sz w:val="16"/>
                <w:szCs w:val="16"/>
                <w:color w:val="auto"/>
              </w:rPr>
              <w:t>Chief Business Officer</w:t>
            </w:r>
          </w:p>
        </w:tc>
      </w:tr>
      <w:tr>
        <w:trPr>
          <w:trHeight w:val="189"/>
        </w:trPr>
        <w:tc>
          <w:tcPr>
            <w:tcW w:w="3300" w:type="dxa"/>
            <w:vAlign w:val="bottom"/>
          </w:tcPr>
          <w:p>
            <w:pPr>
              <w:spacing w:after="0"/>
              <w:rPr>
                <w:sz w:val="20"/>
                <w:szCs w:val="20"/>
                <w:color w:val="auto"/>
              </w:rPr>
            </w:pPr>
            <w:r>
              <w:rPr>
                <w:rFonts w:ascii="Arial" w:cs="Arial" w:eastAsia="Arial" w:hAnsi="Arial"/>
                <w:sz w:val="16"/>
                <w:szCs w:val="16"/>
                <w:color w:val="auto"/>
              </w:rPr>
              <w:t>Brian Dorsey, MSc</w:t>
            </w:r>
          </w:p>
        </w:tc>
        <w:tc>
          <w:tcPr>
            <w:tcW w:w="5120" w:type="dxa"/>
            <w:vAlign w:val="bottom"/>
          </w:tcPr>
          <w:p>
            <w:pPr>
              <w:ind w:left="1020"/>
              <w:spacing w:after="0"/>
              <w:rPr>
                <w:sz w:val="20"/>
                <w:szCs w:val="20"/>
                <w:color w:val="auto"/>
              </w:rPr>
            </w:pPr>
            <w:r>
              <w:rPr>
                <w:rFonts w:ascii="Arial" w:cs="Arial" w:eastAsia="Arial" w:hAnsi="Arial"/>
                <w:sz w:val="16"/>
                <w:szCs w:val="16"/>
                <w:color w:val="auto"/>
              </w:rPr>
              <w:t>Chief Operating Officer</w:t>
            </w:r>
          </w:p>
        </w:tc>
      </w:tr>
      <w:tr>
        <w:trPr>
          <w:trHeight w:val="189"/>
        </w:trPr>
        <w:tc>
          <w:tcPr>
            <w:tcW w:w="3300" w:type="dxa"/>
            <w:vAlign w:val="bottom"/>
            <w:shd w:val="clear" w:color="auto" w:fill="E4EDF1"/>
          </w:tcPr>
          <w:p>
            <w:pPr>
              <w:spacing w:after="0"/>
              <w:rPr>
                <w:sz w:val="20"/>
                <w:szCs w:val="20"/>
                <w:color w:val="auto"/>
              </w:rPr>
            </w:pPr>
            <w:r>
              <w:rPr>
                <w:rFonts w:ascii="Arial" w:cs="Arial" w:eastAsia="Arial" w:hAnsi="Arial"/>
                <w:sz w:val="16"/>
                <w:szCs w:val="16"/>
                <w:color w:val="auto"/>
              </w:rPr>
              <w:t>Alexander A. Fitzpatrick, J.D.</w:t>
            </w:r>
          </w:p>
        </w:tc>
        <w:tc>
          <w:tcPr>
            <w:tcW w:w="5120" w:type="dxa"/>
            <w:vAlign w:val="bottom"/>
            <w:shd w:val="clear" w:color="auto" w:fill="E4EDF1"/>
          </w:tcPr>
          <w:p>
            <w:pPr>
              <w:ind w:left="1020"/>
              <w:spacing w:after="0"/>
              <w:rPr>
                <w:sz w:val="20"/>
                <w:szCs w:val="20"/>
                <w:color w:val="auto"/>
              </w:rPr>
            </w:pPr>
            <w:r>
              <w:rPr>
                <w:rFonts w:ascii="Arial" w:cs="Arial" w:eastAsia="Arial" w:hAnsi="Arial"/>
                <w:sz w:val="16"/>
                <w:szCs w:val="16"/>
                <w:color w:val="auto"/>
              </w:rPr>
              <w:t>Chief Legal Officer and Secretary</w:t>
            </w:r>
          </w:p>
        </w:tc>
      </w:tr>
    </w:tbl>
    <w:p>
      <w:pPr>
        <w:spacing w:after="0" w:line="197" w:lineRule="exact"/>
        <w:rPr>
          <w:sz w:val="20"/>
          <w:szCs w:val="20"/>
          <w:color w:val="auto"/>
        </w:rPr>
      </w:pPr>
    </w:p>
    <w:p>
      <w:pPr>
        <w:jc w:val="both"/>
        <w:ind w:left="300" w:right="319" w:firstLine="324"/>
        <w:spacing w:after="0" w:line="271" w:lineRule="auto"/>
        <w:rPr>
          <w:sz w:val="20"/>
          <w:szCs w:val="20"/>
          <w:color w:val="auto"/>
        </w:rPr>
      </w:pPr>
      <w:r>
        <w:rPr>
          <w:rFonts w:ascii="Arial" w:cs="Arial" w:eastAsia="Arial" w:hAnsi="Arial"/>
          <w:sz w:val="18"/>
          <w:szCs w:val="18"/>
          <w:color w:val="auto"/>
        </w:rPr>
        <w:t>The following is biographical information for our executive officers other than Mr. Lowenthal, whose biographical information is included under Proposal 1.</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right="80" w:firstLine="522"/>
        <w:spacing w:after="0" w:line="360" w:lineRule="auto"/>
        <w:rPr>
          <w:sz w:val="20"/>
          <w:szCs w:val="20"/>
          <w:color w:val="auto"/>
        </w:rPr>
      </w:pPr>
      <w:r>
        <w:rPr>
          <w:rFonts w:ascii="Arial" w:cs="Arial" w:eastAsia="Arial" w:hAnsi="Arial"/>
          <w:sz w:val="18"/>
          <w:szCs w:val="18"/>
          <w:b w:val="1"/>
          <w:bCs w:val="1"/>
          <w:color w:val="auto"/>
        </w:rPr>
        <w:t xml:space="preserve">Chief Financial Officer Age: </w:t>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-2799080</wp:posOffset>
            </wp:positionV>
            <wp:extent cx="2040255" cy="3154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0255" cy="315468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b w:val="1"/>
          <w:bCs w:val="1"/>
          <w:color w:val="auto"/>
        </w:rPr>
        <w:t xml:space="preserve">ARS Executive since: </w:t>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B4B73"/>
        </w:rPr>
        <w:t>Kathleen D.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 w:lineRule="exact"/>
        <w:rPr>
          <w:sz w:val="20"/>
          <w:szCs w:val="20"/>
          <w:color w:val="auto"/>
        </w:rPr>
      </w:pPr>
    </w:p>
    <w:p>
      <w:pPr>
        <w:jc w:val="both"/>
        <w:ind w:right="299"/>
        <w:spacing w:after="0" w:line="235" w:lineRule="auto"/>
        <w:rPr>
          <w:sz w:val="20"/>
          <w:szCs w:val="20"/>
          <w:color w:val="auto"/>
        </w:rPr>
      </w:pPr>
      <w:r>
        <w:rPr>
          <w:rFonts w:ascii="Arial" w:cs="Arial" w:eastAsia="Arial" w:hAnsi="Arial"/>
          <w:sz w:val="18"/>
          <w:szCs w:val="18"/>
          <w:color w:val="auto"/>
        </w:rPr>
        <w:t>Kathleen D. Scott has served as our Chief Financial Officer since February 2022. Ms. Scott previously served as the Chief Financial Officer of various life science companies, including Neurana Pharmaceuticals, Inc. (from 2017 to March 2022), Recros Medica, Inc. (from 2014 to April 2021), Adigica Health, Inc. (from 2016 to March 2021), Clarify Medical, Inc. (from 2014 to 2016), Oncternal Therapeutics, Inc. (Nasdaq: ONCT) (in 2016), MDRejuvena, Inc. (from 2014 to 2016) and BioSurplus, Inc. (from 2010 to 2014). Ms. Scott also previously served as a partner at RA Capital Advisors LLC, a San Diego private investment bank providing financial advisory services. She spent over 15 years with RA Capital Advisors, completing mergers, acquisitions, divestitures and restructurings for a broad range of corporate clients. Ms. Scott started her career as an auditor in Arthur Andersen’s San Diego office, focusing on both public and private clients. Ms. Scott serves on the boards of directors of Dermata Therapeutics, Inc. (Nasdaq: DRMA), where she has served since August 2021, NKGen Biotech, Inc. (OTC: NKGN), where she has served since September 2023, and the YMCA of San Diego County. Ms. Scott holds a bachelor’s degree in economics/business from the University of California, Los Angeles and is a CPA and CFA charter holder.</w:t>
      </w:r>
    </w:p>
    <w:p>
      <w:pPr>
        <w:spacing w:after="0" w:line="200" w:lineRule="exact"/>
        <w:rPr>
          <w:sz w:val="20"/>
          <w:szCs w:val="20"/>
          <w:color w:val="auto"/>
        </w:rPr>
      </w:pPr>
    </w:p>
    <w:p>
      <w:pPr>
        <w:sectPr>
          <w:pgSz w:w="11900" w:h="16838" w:orient="portrait"/>
          <w:cols w:equalWidth="0" w:num="2">
            <w:col w:w="2940" w:space="720"/>
            <w:col w:w="5359"/>
          </w:cols>
          <w:pgMar w:left="1440" w:top="1440" w:right="144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457835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2040255" cy="2940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40255" cy="294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right="180" w:firstLine="582"/>
        <w:spacing w:after="0" w:line="360" w:lineRule="auto"/>
        <w:rPr>
          <w:sz w:val="20"/>
          <w:szCs w:val="20"/>
          <w:color w:val="auto"/>
        </w:rPr>
      </w:pPr>
      <w:r>
        <w:rPr>
          <w:rFonts w:ascii="Arial" w:cs="Arial" w:eastAsia="Arial" w:hAnsi="Arial"/>
          <w:sz w:val="18"/>
          <w:szCs w:val="18"/>
          <w:b w:val="1"/>
          <w:bCs w:val="1"/>
          <w:color w:val="auto"/>
        </w:rPr>
        <w:t xml:space="preserve">Chief Medical Officer Age: </w:t>
      </w:r>
      <w:r>
        <w:rPr>
          <w:rFonts w:ascii="Arial" w:cs="Arial" w:eastAsia="Arial" w:hAnsi="Arial"/>
          <w:sz w:val="18"/>
          <w:szCs w:val="18"/>
          <w:color w:val="auto"/>
        </w:rPr>
        <w:t>57</w:t>
      </w:r>
    </w:p>
    <w:p>
      <w:pPr>
        <w:ind w:left="420"/>
        <w:spacing w:after="0"/>
        <w:rPr>
          <w:sz w:val="20"/>
          <w:szCs w:val="20"/>
          <w:color w:val="auto"/>
        </w:rPr>
      </w:pPr>
      <w:r>
        <w:rPr>
          <w:rFonts w:ascii="Arial" w:cs="Arial" w:eastAsia="Arial" w:hAnsi="Arial"/>
          <w:sz w:val="18"/>
          <w:szCs w:val="18"/>
          <w:b w:val="1"/>
          <w:bCs w:val="1"/>
          <w:color w:val="auto"/>
        </w:rPr>
        <w:t xml:space="preserve">ARS Executive since: </w:t>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137795</wp:posOffset>
            </wp:positionV>
            <wp:extent cx="2040255" cy="3154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4025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firstLine="397"/>
        <w:spacing w:after="0" w:line="360" w:lineRule="auto"/>
        <w:rPr>
          <w:sz w:val="20"/>
          <w:szCs w:val="20"/>
          <w:color w:val="auto"/>
        </w:rPr>
      </w:pPr>
      <w:r>
        <w:rPr>
          <w:rFonts w:ascii="Arial" w:cs="Arial" w:eastAsia="Arial" w:hAnsi="Arial"/>
          <w:sz w:val="18"/>
          <w:szCs w:val="18"/>
          <w:b w:val="1"/>
          <w:bCs w:val="1"/>
          <w:color w:val="auto"/>
        </w:rPr>
        <w:t xml:space="preserve">Chief Commercial Officer Age: </w:t>
      </w:r>
      <w:r>
        <w:rPr>
          <w:rFonts w:ascii="Arial" w:cs="Arial" w:eastAsia="Arial" w:hAnsi="Arial"/>
          <w:sz w:val="18"/>
          <w:szCs w:val="18"/>
          <w:color w:val="auto"/>
        </w:rPr>
        <w:t>54</w:t>
      </w:r>
    </w:p>
    <w:p>
      <w:pPr>
        <w:ind w:left="420"/>
        <w:spacing w:after="0"/>
        <w:rPr>
          <w:sz w:val="20"/>
          <w:szCs w:val="20"/>
          <w:color w:val="auto"/>
        </w:rPr>
      </w:pPr>
      <w:r>
        <w:rPr>
          <w:rFonts w:ascii="Arial" w:cs="Arial" w:eastAsia="Arial" w:hAnsi="Arial"/>
          <w:sz w:val="18"/>
          <w:szCs w:val="18"/>
          <w:b w:val="1"/>
          <w:bCs w:val="1"/>
          <w:color w:val="auto"/>
        </w:rPr>
        <w:t xml:space="preserve">ARS Executive since: </w:t>
      </w: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0B4B73"/>
        </w:rPr>
        <w:t>Sarina Tanimoto, M.D., M.B.A.</w:t>
      </w:r>
    </w:p>
    <w:p>
      <w:pPr>
        <w:spacing w:after="0" w:line="61" w:lineRule="exact"/>
        <w:rPr>
          <w:sz w:val="20"/>
          <w:szCs w:val="20"/>
          <w:color w:val="auto"/>
        </w:rPr>
      </w:pPr>
    </w:p>
    <w:p>
      <w:pPr>
        <w:jc w:val="both"/>
        <w:ind w:right="299"/>
        <w:spacing w:after="0" w:line="236" w:lineRule="auto"/>
        <w:rPr>
          <w:sz w:val="20"/>
          <w:szCs w:val="20"/>
          <w:color w:val="auto"/>
        </w:rPr>
      </w:pPr>
      <w:r>
        <w:rPr>
          <w:rFonts w:ascii="Arial" w:cs="Arial" w:eastAsia="Arial" w:hAnsi="Arial"/>
          <w:sz w:val="18"/>
          <w:szCs w:val="18"/>
          <w:color w:val="auto"/>
        </w:rPr>
        <w:t>Sarina Tanimoto is our co-founder and has served as our Chief Medical Officer since 2018, a position she has functionally served in since 2015. From 2015 to 2018, Dr. Tanimoto served as a member of our Board of Directors. Dr. Tanimoto previously served as Chief Medical Officer of Pacific-Link Regulatory Consulting and Research, Inc., a medicinal product development consultancy, where she supported multiple programs from Phase 1 to Phase 3 clinical trials in various therapeutic areas, including several intranasal products. Prior to Pacific-Link Regulatory Consulting and Research, Inc., Dr. Tanimoto held roles in clinical and business development during her tenure at AnGes Inc., a biopharmaceutical company, and also served as a clinical scientist at Roche, a research healthcare company, where she was involved in global clinical development. Dr. Tanimoto earned an M.D. from University of Toyama, followed by internal medicine training at the National Center for Global Health and Medicine in Tokyo. She holds an M.B.A. from McGill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-2325370</wp:posOffset>
            </wp:positionV>
            <wp:extent cx="320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0B4B73"/>
        </w:rPr>
        <w:t>Eric Karas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 w:lineRule="exact"/>
        <w:rPr>
          <w:sz w:val="20"/>
          <w:szCs w:val="20"/>
          <w:color w:val="auto"/>
        </w:rPr>
      </w:pPr>
    </w:p>
    <w:p>
      <w:pPr>
        <w:jc w:val="both"/>
        <w:ind w:right="299"/>
        <w:spacing w:after="0" w:line="229" w:lineRule="auto"/>
        <w:rPr>
          <w:sz w:val="20"/>
          <w:szCs w:val="20"/>
          <w:color w:val="auto"/>
        </w:rPr>
      </w:pPr>
      <w:r>
        <w:rPr>
          <w:rFonts w:ascii="Arial" w:cs="Arial" w:eastAsia="Arial" w:hAnsi="Arial"/>
          <w:sz w:val="18"/>
          <w:szCs w:val="18"/>
          <w:color w:val="auto"/>
        </w:rPr>
        <w:t>Eric Karas has served as our Chief Commercial Officer since April 2022. From 2018 to March 2022, Mr. Karas served as Vice President and General Manager of Commercial, North America at Emergent BioSolutions Inc. (NYSE: EBS). Prior to that, from 2016 to 2018, Mr. Karas led commercial initiatives for NARCAN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Nasal Spray at Adapt Pharma, Inc., which was acquired by Emergent BioSolutions in 2018. Prior to Adapt Pharma, Mr. Karas spent eight years at Auxilium Pharmaceuticals, Inc. overseeing all global commercial objectives related to its urology portfolio. He also led the launch readiness planning and go-to-market strategy for the launch of XIAFLEX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Peyronie’s disease. Auxilium Pharmaceuticals was acquired in 2015 by Endo International plc (Nasdaq: ENDP). Mr. Karas has also held cross-functional roles in government affairs, public relations, patient advocacy and sales leadership roles at Astellas Pharma Inc., Bristol-Myers Squibb Company (NYSE: BMY) and Merck &amp; Co., Inc. (NYSE: MRK). Industry associations have recognized him for numerous disease awareness and branded campaigns targeting healthcare professionals and consumers. Mr. Karas received his M.B.A. in integrated management from Michigan State University, Broad School of Management, and a B.S. in accounting from Rutgers University.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450850</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2980" w:space="680"/>
            <w:col w:w="5359"/>
          </w:cols>
          <w:pgMar w:left="1440" w:top="1425"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2040255" cy="2940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40255" cy="294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right="80" w:firstLine="512"/>
        <w:spacing w:after="0" w:line="360" w:lineRule="auto"/>
        <w:rPr>
          <w:sz w:val="20"/>
          <w:szCs w:val="20"/>
          <w:color w:val="auto"/>
        </w:rPr>
      </w:pPr>
      <w:r>
        <w:rPr>
          <w:rFonts w:ascii="Arial" w:cs="Arial" w:eastAsia="Arial" w:hAnsi="Arial"/>
          <w:sz w:val="18"/>
          <w:szCs w:val="18"/>
          <w:b w:val="1"/>
          <w:bCs w:val="1"/>
          <w:color w:val="auto"/>
        </w:rPr>
        <w:t xml:space="preserve">Chief Business Officer Age: </w:t>
      </w:r>
      <w:r>
        <w:rPr>
          <w:rFonts w:ascii="Arial" w:cs="Arial" w:eastAsia="Arial" w:hAnsi="Arial"/>
          <w:sz w:val="18"/>
          <w:szCs w:val="18"/>
          <w:color w:val="auto"/>
        </w:rPr>
        <w:t>37</w:t>
      </w:r>
    </w:p>
    <w:p>
      <w:pPr>
        <w:ind w:left="420"/>
        <w:spacing w:after="0"/>
        <w:rPr>
          <w:sz w:val="20"/>
          <w:szCs w:val="20"/>
          <w:color w:val="auto"/>
        </w:rPr>
      </w:pPr>
      <w:r>
        <w:rPr>
          <w:rFonts w:ascii="Arial" w:cs="Arial" w:eastAsia="Arial" w:hAnsi="Arial"/>
          <w:sz w:val="18"/>
          <w:szCs w:val="18"/>
          <w:b w:val="1"/>
          <w:bCs w:val="1"/>
          <w:color w:val="auto"/>
        </w:rPr>
        <w:t xml:space="preserve">ARS Executive since: </w:t>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137795</wp:posOffset>
            </wp:positionV>
            <wp:extent cx="2040255" cy="4183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0255"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firstLine="437"/>
        <w:spacing w:after="0" w:line="360" w:lineRule="auto"/>
        <w:rPr>
          <w:sz w:val="20"/>
          <w:szCs w:val="20"/>
          <w:color w:val="auto"/>
        </w:rPr>
      </w:pPr>
      <w:r>
        <w:rPr>
          <w:rFonts w:ascii="Arial" w:cs="Arial" w:eastAsia="Arial" w:hAnsi="Arial"/>
          <w:sz w:val="18"/>
          <w:szCs w:val="18"/>
          <w:b w:val="1"/>
          <w:bCs w:val="1"/>
          <w:color w:val="auto"/>
        </w:rPr>
        <w:t xml:space="preserve">Chief Operations Officer Age: </w:t>
      </w:r>
      <w:r>
        <w:rPr>
          <w:rFonts w:ascii="Arial" w:cs="Arial" w:eastAsia="Arial" w:hAnsi="Arial"/>
          <w:sz w:val="18"/>
          <w:szCs w:val="18"/>
          <w:color w:val="auto"/>
        </w:rPr>
        <w:t>57</w:t>
      </w:r>
    </w:p>
    <w:p>
      <w:pPr>
        <w:ind w:left="420"/>
        <w:spacing w:after="0"/>
        <w:rPr>
          <w:sz w:val="20"/>
          <w:szCs w:val="20"/>
          <w:color w:val="auto"/>
        </w:rPr>
      </w:pPr>
      <w:r>
        <w:rPr>
          <w:rFonts w:ascii="Arial" w:cs="Arial" w:eastAsia="Arial" w:hAnsi="Arial"/>
          <w:sz w:val="18"/>
          <w:szCs w:val="18"/>
          <w:b w:val="1"/>
          <w:bCs w:val="1"/>
          <w:color w:val="auto"/>
        </w:rPr>
        <w:t xml:space="preserve">ARS Executive since: </w:t>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0B4B73"/>
        </w:rPr>
        <w:t>Justin Chakma</w:t>
      </w:r>
    </w:p>
    <w:p>
      <w:pPr>
        <w:spacing w:after="0" w:line="69" w:lineRule="exact"/>
        <w:rPr>
          <w:sz w:val="20"/>
          <w:szCs w:val="20"/>
          <w:color w:val="auto"/>
        </w:rPr>
      </w:pPr>
    </w:p>
    <w:p>
      <w:pPr>
        <w:jc w:val="both"/>
        <w:ind w:right="299"/>
        <w:spacing w:after="0" w:line="236" w:lineRule="auto"/>
        <w:rPr>
          <w:sz w:val="20"/>
          <w:szCs w:val="20"/>
          <w:color w:val="auto"/>
        </w:rPr>
      </w:pPr>
      <w:r>
        <w:rPr>
          <w:rFonts w:ascii="Arial" w:cs="Arial" w:eastAsia="Arial" w:hAnsi="Arial"/>
          <w:sz w:val="18"/>
          <w:szCs w:val="18"/>
          <w:color w:val="auto"/>
        </w:rPr>
        <w:t>Justin Chakma has served as our Chief Business Officer since June 2019. From 2018 to May 2019, Mr. Chakma served as VP, Head of Business Development and Strategy at Vedanta Biosciences, a biotechnology company developing medicines to modulate immune responses. Before that, from 2015 to 2018, he was a Senior Director of Business Development at Celgene Corporation (formerly Nasdaq: CELG) (acquired by Bristol-Myers Squibb Company). Prior to joining Celgene, Mr. Chakma held various roles in biotech and pharmaceutical business development, financing and investments at Receptos, Inc. (formerly Nasdaq: RCPT) (acquired by Celgene), Auspex Pharmaceuticals, Inc. (formerly Nasdaq: ASPX) (acquired by Teva Pharmaceutical Industries Ltd.), and Thomas, McNerney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-1676400</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both"/>
        <w:ind w:right="299" w:firstLine="7"/>
        <w:spacing w:after="0"/>
        <w:tabs>
          <w:tab w:leader="none" w:pos="1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Partners, a venture capital firm. Mr. Chakma holds an M.B.A. from the Wharton School of the University of Pennsylvania, and bachelor’s degrees in neuroscience and economics from the University of Toronto.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b w:val="1"/>
          <w:bCs w:val="1"/>
          <w:color w:val="0B4B73"/>
        </w:rPr>
        <w:t>Brian T. Dorsey,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 w:lineRule="exact"/>
        <w:rPr>
          <w:sz w:val="20"/>
          <w:szCs w:val="20"/>
          <w:color w:val="auto"/>
        </w:rPr>
      </w:pPr>
    </w:p>
    <w:p>
      <w:pPr>
        <w:jc w:val="both"/>
        <w:ind w:right="299"/>
        <w:spacing w:after="0" w:line="235" w:lineRule="auto"/>
        <w:rPr>
          <w:sz w:val="20"/>
          <w:szCs w:val="20"/>
          <w:color w:val="auto"/>
        </w:rPr>
      </w:pPr>
      <w:r>
        <w:rPr>
          <w:rFonts w:ascii="Arial" w:cs="Arial" w:eastAsia="Arial" w:hAnsi="Arial"/>
          <w:sz w:val="18"/>
          <w:szCs w:val="18"/>
          <w:color w:val="auto"/>
        </w:rPr>
        <w:t>Brian Dorsey has served as our Chief Operating Officer since December 2022 and previously served as our Senior Vice President of Operations and Project Management from 2018 to December 2022. He has served in the pharmaceutical and biotechnology industries for more than 30 years providing high-level drug development, regulatory and QC/QA leadership of pharmaceutical candidates from early development through U.S. Food and Drug Administration approval. Mr. Dorsey is a founding partner at MagnaSci Ventures, a healthcare fund focused on investing in early-stage life science companies. He is a founder of numerous companies including Kalyra Pharmaceuticals, Sorriso Pharmaceuticals and Septum Solutions. Prior to joining the Company, Mr. Dorsey was Chief Development Officer for Apricus BioSciences (Nasdaq: APRI) from 2014 to 2018. Mr. Dorsey has also held various senior management positions including Senior Vice President of Research and Development and Chief Compliance Officer of Pernix Therapeutics Holding; Senior Vice President of Technical Operations and Regulatory Affairs for Somaxon Pharmaceuticals; Head of Project Management, Medical Writing and Library Services at Maxim Pharmaceuticals; Head of Biopharmaceutical Project Management of Baxter Bioscience and Manager of Chemistry, Manufacturing, and Control for Chugai Biopharmaceuticals. Mr. Dorsey has held several positions within the Agouron/Warner Lambert/Pfizer organization and has led development projects in the antiviral, oncology, and ophthalmology therapeutic areas. He serves on the board of directors for Forward Sciences and Blacksmith Therapeutics. Mr. Dorsey received his Master of Science in Executive Leadership and his B.A. in chemistry from the University of San Diego.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450850</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2940" w:space="720"/>
            <w:col w:w="5359"/>
          </w:cols>
          <w:pgMar w:left="1440" w:top="1438"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1040765</wp:posOffset>
            </wp:positionV>
            <wp:extent cx="2040255" cy="3411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025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Chief Legal Officer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ARS Executive since: </w:t>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b w:val="1"/>
          <w:bCs w:val="1"/>
          <w:color w:val="0B4B73"/>
        </w:rPr>
        <w:t>Alexander A. Fitzpatrick,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 w:lineRule="exact"/>
        <w:rPr>
          <w:sz w:val="20"/>
          <w:szCs w:val="20"/>
          <w:color w:val="auto"/>
        </w:rPr>
      </w:pPr>
    </w:p>
    <w:p>
      <w:pPr>
        <w:jc w:val="both"/>
        <w:ind w:right="299"/>
        <w:spacing w:after="0" w:line="235" w:lineRule="auto"/>
        <w:rPr>
          <w:sz w:val="20"/>
          <w:szCs w:val="20"/>
          <w:color w:val="auto"/>
        </w:rPr>
      </w:pPr>
      <w:r>
        <w:rPr>
          <w:rFonts w:ascii="Arial" w:cs="Arial" w:eastAsia="Arial" w:hAnsi="Arial"/>
          <w:sz w:val="18"/>
          <w:szCs w:val="18"/>
          <w:color w:val="auto"/>
        </w:rPr>
        <w:t>Alexander A. Fitzpatrick has served as our Chief Legal Officer since December 2022. From 2004 through 2022, Mr. Fitzpatrick served as general counsel to several public and private commercial stage pharmaceutical, biotechnology and other technology companies. From 2017 through 2022, Mr. Fitzpatrick served as Executive Vice President, General Counsel and Secretary of Evofem Biosciences, Inc.; from 2014 through 2016, as Chief Legal Officer and Secretary of Kyriba Corporation; from 2010 to 2014 as Senior Vice President, General Counsel, Compliance Officer and Secretary of Verenium Corporation, from 2004 to 2010 as Senior Vice President, General Counsel and Secretary of Kintera, Inc (following the sale of Kintera, Mr. Fitzpatrick continued to serve in a similar position for a major division of Blackbaud, Inc.). Prior to moving in-house, Mr. Fitzpatrick was a member of the business and corporate departments with the law firms Cooley LLP and Latham &amp; Watkins LLP in San Diego, and Rogers &amp; Wells LLP (now Clifford Chance) in London. Mr. Fitzpatrick represented pharmaceutical, healthcare and other technology companies, investment banks and venture capitalists in a variety of transactions including numerous collaborations, mergers and acquisitions, intellectual property matters, licensing and financing activity. Mr. Fitzpatrick received a B.S. in mathematics from Georgetown University and a J.D. from the University of California, Berkeley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450850</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2940" w:space="720"/>
            <w:col w:w="5359"/>
          </w:cols>
          <w:pgMar w:left="1440" w:top="1440" w:right="1440" w:bottom="1440" w:gutter="0" w:footer="0" w:header="0"/>
        </w:sectPr>
      </w:pPr>
    </w:p>
    <w:bookmarkStart w:id="41" w:name="page42"/>
    <w:bookmarkEnd w:id="41"/>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Executive Compensation</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Overview</w:t>
      </w:r>
    </w:p>
    <w:p>
      <w:pPr>
        <w:spacing w:after="0" w:line="123"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This executive compensation section describes the key elements of our executive compensation program and compensation decisions for our named executive officers for fiscal year 2025. The Compensation Committee of the Board and the Board administer our compensation programs.</w:t>
      </w:r>
    </w:p>
    <w:p>
      <w:pPr>
        <w:spacing w:after="0" w:line="169"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Because we were a “smaller reporting company,” as defined under Rule 405 of the Securities Act, in 2025, we are eligible for certain exemptions from various reporting requirements that are applicable to other public companies. These include, but are not limited to, reduced disclosure obligations regarding executive compensation in our proxy statement, including the requirement to include a Compensation Discussion and Analysis. We have elected to comply with the scaled disclosure requirements applicable to smaller reporting companies. However, the Compensation Committee is providing additional information necessary to help our stockholders understand how we compensate, motivate and retain our executive officers. Accordingly, this overview includes supplemental narratives that describe our executive compensation decisions for fiscal year 2025.</w:t>
      </w:r>
    </w:p>
    <w:p>
      <w:pPr>
        <w:spacing w:after="0" w:line="183"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Our principal executive officer and anyone serving as our principal executive officer during the year ended December 31, 2025 and our two other most highly compensated executive officers who were serving at December 31, 2025 (our “Named Executive Officers” or “NEOs”) are:</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440" w:type="dxa"/>
            <w:vAlign w:val="bottom"/>
            <w:tcBorders>
              <w:bottom w:val="single" w:sz="8" w:color="C3D041"/>
            </w:tcBorders>
            <w:shd w:val="clear" w:color="auto" w:fill="0B4B73"/>
          </w:tcPr>
          <w:p>
            <w:pPr>
              <w:ind w:left="1900"/>
              <w:spacing w:after="0"/>
              <w:rPr>
                <w:sz w:val="20"/>
                <w:szCs w:val="20"/>
                <w:color w:val="auto"/>
              </w:rPr>
            </w:pPr>
            <w:r>
              <w:rPr>
                <w:rFonts w:ascii="Arial" w:cs="Arial" w:eastAsia="Arial" w:hAnsi="Arial"/>
                <w:sz w:val="14"/>
                <w:szCs w:val="14"/>
                <w:b w:val="1"/>
                <w:bCs w:val="1"/>
                <w:color w:val="FFFFFF"/>
              </w:rPr>
              <w:t>Name</w:t>
            </w:r>
          </w:p>
        </w:tc>
        <w:tc>
          <w:tcPr>
            <w:tcW w:w="4980" w:type="dxa"/>
            <w:vAlign w:val="bottom"/>
            <w:tcBorders>
              <w:bottom w:val="single" w:sz="8" w:color="C3D041"/>
            </w:tcBorders>
            <w:shd w:val="clear" w:color="auto" w:fill="0B4B73"/>
          </w:tcPr>
          <w:p>
            <w:pPr>
              <w:ind w:left="2720"/>
              <w:spacing w:after="0"/>
              <w:rPr>
                <w:sz w:val="20"/>
                <w:szCs w:val="20"/>
                <w:color w:val="auto"/>
              </w:rPr>
            </w:pPr>
            <w:r>
              <w:rPr>
                <w:rFonts w:ascii="Arial" w:cs="Arial" w:eastAsia="Arial" w:hAnsi="Arial"/>
                <w:sz w:val="14"/>
                <w:szCs w:val="14"/>
                <w:b w:val="1"/>
                <w:bCs w:val="1"/>
                <w:color w:val="FFFFFF"/>
              </w:rPr>
              <w:t>Title</w:t>
            </w:r>
          </w:p>
        </w:tc>
      </w:tr>
      <w:tr>
        <w:trPr>
          <w:trHeight w:val="202"/>
        </w:trPr>
        <w:tc>
          <w:tcPr>
            <w:tcW w:w="3440" w:type="dxa"/>
            <w:vAlign w:val="bottom"/>
            <w:shd w:val="clear" w:color="auto" w:fill="E4EDF1"/>
          </w:tcPr>
          <w:p>
            <w:pPr>
              <w:ind w:left="60"/>
              <w:spacing w:after="0" w:line="202" w:lineRule="exact"/>
              <w:rPr>
                <w:sz w:val="20"/>
                <w:szCs w:val="20"/>
                <w:color w:val="auto"/>
              </w:rPr>
            </w:pPr>
            <w:r>
              <w:rPr>
                <w:rFonts w:ascii="Arial" w:cs="Arial" w:eastAsia="Arial" w:hAnsi="Arial"/>
                <w:sz w:val="18"/>
                <w:szCs w:val="18"/>
                <w:color w:val="auto"/>
              </w:rPr>
              <w:t>Richard Lowenthal, M.S., MSEL</w:t>
            </w:r>
          </w:p>
        </w:tc>
        <w:tc>
          <w:tcPr>
            <w:tcW w:w="4980" w:type="dxa"/>
            <w:vAlign w:val="bottom"/>
            <w:shd w:val="clear" w:color="auto" w:fill="E4EDF1"/>
          </w:tcPr>
          <w:p>
            <w:pPr>
              <w:ind w:left="820"/>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03"/>
        </w:trPr>
        <w:tc>
          <w:tcPr>
            <w:tcW w:w="3440" w:type="dxa"/>
            <w:vAlign w:val="bottom"/>
          </w:tcPr>
          <w:p>
            <w:pPr>
              <w:ind w:left="60"/>
              <w:spacing w:after="0" w:line="202" w:lineRule="exact"/>
              <w:rPr>
                <w:sz w:val="20"/>
                <w:szCs w:val="20"/>
                <w:color w:val="auto"/>
              </w:rPr>
            </w:pPr>
            <w:r>
              <w:rPr>
                <w:rFonts w:ascii="Arial" w:cs="Arial" w:eastAsia="Arial" w:hAnsi="Arial"/>
                <w:sz w:val="18"/>
                <w:szCs w:val="18"/>
                <w:color w:val="auto"/>
              </w:rPr>
              <w:t>Sarina Tanimoto, M.D., M.B.A</w:t>
            </w:r>
          </w:p>
        </w:tc>
        <w:tc>
          <w:tcPr>
            <w:tcW w:w="4980" w:type="dxa"/>
            <w:vAlign w:val="bottom"/>
          </w:tcPr>
          <w:p>
            <w:pPr>
              <w:ind w:left="82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440" w:type="dxa"/>
            <w:vAlign w:val="bottom"/>
            <w:shd w:val="clear" w:color="auto" w:fill="E4EDF1"/>
          </w:tcPr>
          <w:p>
            <w:pPr>
              <w:ind w:left="60"/>
              <w:spacing w:after="0" w:line="202" w:lineRule="exact"/>
              <w:rPr>
                <w:sz w:val="20"/>
                <w:szCs w:val="20"/>
                <w:color w:val="auto"/>
              </w:rPr>
            </w:pPr>
            <w:r>
              <w:rPr>
                <w:rFonts w:ascii="Arial" w:cs="Arial" w:eastAsia="Arial" w:hAnsi="Arial"/>
                <w:sz w:val="18"/>
                <w:szCs w:val="18"/>
                <w:color w:val="auto"/>
              </w:rPr>
              <w:t>Justin Chakma</w:t>
            </w:r>
          </w:p>
        </w:tc>
        <w:tc>
          <w:tcPr>
            <w:tcW w:w="4980" w:type="dxa"/>
            <w:vAlign w:val="bottom"/>
            <w:shd w:val="clear" w:color="auto" w:fill="E4EDF1"/>
          </w:tcPr>
          <w:p>
            <w:pPr>
              <w:ind w:left="820"/>
              <w:spacing w:after="0" w:line="202" w:lineRule="exact"/>
              <w:rPr>
                <w:sz w:val="20"/>
                <w:szCs w:val="20"/>
                <w:color w:val="auto"/>
              </w:rPr>
            </w:pPr>
            <w:r>
              <w:rPr>
                <w:rFonts w:ascii="Arial" w:cs="Arial" w:eastAsia="Arial" w:hAnsi="Arial"/>
                <w:sz w:val="18"/>
                <w:szCs w:val="18"/>
                <w:color w:val="auto"/>
              </w:rPr>
              <w:t>Chief Business Officer</w:t>
            </w:r>
          </w:p>
        </w:tc>
      </w:tr>
    </w:tbl>
    <w:p>
      <w:pPr>
        <w:spacing w:after="0" w:line="300"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Stockholder Advisory Vote</w:t>
      </w:r>
    </w:p>
    <w:p>
      <w:pPr>
        <w:spacing w:after="0" w:line="123"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At the Annual Meeting, we will conduct a non-binding stockholder advisory vote on the compensation of our Named Executive Officers, commonly known as a “say-on-pay” vote. We value the opinions of our stockholders, and our Compensation Committee and Board expect to consider the outcome of this vote when making future compensation decisions for the Named Executive Officers.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About ARS Pharmaceuticals, Inc.</w:t>
      </w:r>
    </w:p>
    <w:p>
      <w:pPr>
        <w:spacing w:after="0" w:line="123" w:lineRule="exact"/>
        <w:rPr>
          <w:sz w:val="20"/>
          <w:szCs w:val="20"/>
          <w:color w:val="auto"/>
        </w:rPr>
      </w:pPr>
    </w:p>
    <w:p>
      <w:pPr>
        <w:jc w:val="both"/>
        <w:ind w:left="300" w:right="299" w:firstLine="441"/>
        <w:spacing w:after="0" w:line="222" w:lineRule="exact"/>
        <w:rPr>
          <w:sz w:val="20"/>
          <w:szCs w:val="20"/>
          <w:color w:val="auto"/>
        </w:rPr>
      </w:pPr>
      <w:r>
        <w:rPr>
          <w:rFonts w:ascii="Arial" w:cs="Arial" w:eastAsia="Arial" w:hAnsi="Arial"/>
          <w:sz w:val="18"/>
          <w:szCs w:val="18"/>
          <w:color w:val="auto"/>
        </w:rPr>
        <w:t xml:space="preserve">We are a biopharmaceutical company dedicated to empowering at-risk patients and their caregivers to better protect patients from allergic reactions that could lead to anaphylaxis. The Company is commercializing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(trade name </w:t>
      </w:r>
      <w:r>
        <w:rPr>
          <w:rFonts w:ascii="Arial" w:cs="Arial" w:eastAsia="Arial" w:hAnsi="Arial"/>
          <w:sz w:val="18"/>
          <w:szCs w:val="18"/>
          <w:b w:val="1"/>
          <w:bCs w:val="1"/>
          <w:color w:val="auto"/>
        </w:rPr>
        <w:t>EUR</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 EU and </w:t>
      </w:r>
      <w:r>
        <w:rPr>
          <w:rFonts w:ascii="SimSun" w:cs="SimSun" w:eastAsia="SimSun" w:hAnsi="SimSun"/>
          <w:sz w:val="18"/>
          <w:szCs w:val="18"/>
          <w:color w:val="auto"/>
        </w:rPr>
        <w:t>优敏速</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in China), an epinephrine nasal</w:t>
      </w:r>
    </w:p>
    <w:p>
      <w:pPr>
        <w:spacing w:after="0" w:line="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spray indicated in the U.S. for emergency treatment of Type I allergic reactions,* including anaphylaxis, in adult patients and pediatric patients who weigh 33 lbs. or greater, and in the EU for emergency treatment of allergic reactions (anaphylaxis) due to insect stings or bites, foods, medicinal products, and other allergens as well as idiopathic or exercise induced anaphylaxis in adults and children who weigh 30 kg or greater. Type I allergic reactions are serious and potentially life-threatening events that can occur within minutes of exposure to an allergen and require immediate treatment with epinephrine, the only FDA-approved medication for these reactions.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line="29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2025 Business and Financial Highlights</w:t>
      </w:r>
    </w:p>
    <w:p>
      <w:pPr>
        <w:spacing w:after="0" w:line="129" w:lineRule="exact"/>
        <w:rPr>
          <w:sz w:val="20"/>
          <w:szCs w:val="20"/>
          <w:color w:val="auto"/>
        </w:rPr>
      </w:pPr>
    </w:p>
    <w:p>
      <w:pPr>
        <w:ind w:left="300" w:right="319" w:firstLine="441"/>
        <w:spacing w:after="0" w:line="223" w:lineRule="auto"/>
        <w:rPr>
          <w:sz w:val="20"/>
          <w:szCs w:val="20"/>
          <w:color w:val="auto"/>
        </w:rPr>
      </w:pPr>
      <w:r>
        <w:rPr>
          <w:rFonts w:ascii="Arial" w:cs="Arial" w:eastAsia="Arial" w:hAnsi="Arial"/>
          <w:sz w:val="18"/>
          <w:szCs w:val="18"/>
          <w:color w:val="auto"/>
        </w:rPr>
        <w:t xml:space="preserve">In 2025, ARS Pharma advanced the commercial launch of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continued to drive market adoption, payor access, and global expansion, supported by a strong cash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257175"/>
                    </a:xfrm>
                    <a:prstGeom prst="rect">
                      <a:avLst/>
                    </a:prstGeom>
                    <a:noFill/>
                  </pic:spPr>
                </pic:pic>
              </a:graphicData>
            </a:graphic>
          </wp:anchor>
        </w:drawing>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0B4B73"/>
        </w:rPr>
        <w:t>Financial Highlights</w:t>
      </w:r>
    </w:p>
    <w:p>
      <w:pPr>
        <w:spacing w:after="0" w:line="81" w:lineRule="exact"/>
        <w:rPr>
          <w:sz w:val="20"/>
          <w:szCs w:val="20"/>
          <w:color w:val="auto"/>
        </w:rPr>
      </w:pPr>
    </w:p>
    <w:p>
      <w:pPr>
        <w:ind w:left="800" w:right="839" w:hanging="443"/>
        <w:spacing w:after="0" w:line="236" w:lineRule="auto"/>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$84.3 million for 2025, including $72.2 million U.S. net product revenue from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w:t>
      </w:r>
    </w:p>
    <w:p>
      <w:pPr>
        <w:spacing w:after="0" w:line="1" w:lineRule="exact"/>
        <w:rPr>
          <w:rFonts w:ascii="Times New Roman" w:cs="Times New Roman" w:eastAsia="Times New Roman" w:hAnsi="Times New Roman"/>
          <w:sz w:val="18"/>
          <w:szCs w:val="18"/>
          <w:color w:val="auto"/>
        </w:rPr>
      </w:pPr>
    </w:p>
    <w:p>
      <w:pPr>
        <w:ind w:left="800" w:right="519" w:hanging="443"/>
        <w:spacing w:after="0" w:line="244" w:lineRule="auto"/>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Collaboration &amp; Supply Revenue: </w:t>
      </w:r>
      <w:r>
        <w:rPr>
          <w:rFonts w:ascii="Arial" w:cs="Arial" w:eastAsia="Arial" w:hAnsi="Arial"/>
          <w:sz w:val="18"/>
          <w:szCs w:val="18"/>
          <w:color w:val="auto"/>
        </w:rPr>
        <w:t>$9.7 million in partner collaboration revenue and $2.4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supply agreements.</w:t>
      </w:r>
    </w:p>
    <w:p>
      <w:pPr>
        <w:spacing w:after="0" w:line="1" w:lineRule="exact"/>
        <w:rPr>
          <w:rFonts w:ascii="Times New Roman" w:cs="Times New Roman" w:eastAsia="Times New Roman" w:hAnsi="Times New Roman"/>
          <w:sz w:val="18"/>
          <w:szCs w:val="18"/>
          <w:color w:val="auto"/>
        </w:rPr>
      </w:pPr>
    </w:p>
    <w:p>
      <w:pPr>
        <w:ind w:left="800" w:right="479" w:hanging="443"/>
        <w:spacing w:after="0" w:line="248" w:lineRule="exact"/>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on Hand: </w:t>
      </w:r>
      <w:r>
        <w:rPr>
          <w:rFonts w:ascii="Arial" w:cs="Arial" w:eastAsia="Arial" w:hAnsi="Arial"/>
          <w:sz w:val="18"/>
          <w:szCs w:val="18"/>
          <w:color w:val="auto"/>
        </w:rPr>
        <w:t>$245.0 million in cash, cash equivalents and short</w:t>
      </w:r>
      <w:r>
        <w:rPr>
          <w:rFonts w:ascii="MS PGothic" w:cs="MS PGothic" w:eastAsia="MS PGothic" w:hAnsi="MS PGothic"/>
          <w:sz w:val="18"/>
          <w:szCs w:val="18"/>
          <w:color w:val="auto"/>
        </w:rPr>
        <w:t>‑</w:t>
      </w:r>
      <w:r>
        <w:rPr>
          <w:rFonts w:ascii="Arial" w:cs="Arial" w:eastAsia="Arial" w:hAnsi="Arial"/>
          <w:sz w:val="18"/>
          <w:szCs w:val="18"/>
          <w:color w:val="auto"/>
        </w:rPr>
        <w:t>term investments at year</w:t>
      </w:r>
      <w:r>
        <w:rPr>
          <w:rFonts w:ascii="MS PGothic" w:cs="MS PGothic" w:eastAsia="MS PGothic" w:hAnsi="MS PGothic"/>
          <w:sz w:val="18"/>
          <w:szCs w:val="18"/>
          <w:color w:val="auto"/>
        </w:rPr>
        <w:t>‑</w:t>
      </w:r>
      <w:r>
        <w:rPr>
          <w:rFonts w:ascii="Arial" w:cs="Arial" w:eastAsia="Arial" w:hAnsi="Arial"/>
          <w:sz w:val="18"/>
          <w:szCs w:val="18"/>
          <w:color w:val="auto"/>
        </w:rPr>
        <w:t>end,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runway through expected cash</w:t>
      </w:r>
      <w:r>
        <w:rPr>
          <w:rFonts w:ascii="MS PGothic" w:cs="MS PGothic" w:eastAsia="MS PGothic" w:hAnsi="MS PGothic"/>
          <w:sz w:val="18"/>
          <w:szCs w:val="18"/>
          <w:color w:val="auto"/>
        </w:rPr>
        <w:t>‑</w:t>
      </w:r>
      <w:r>
        <w:rPr>
          <w:rFonts w:ascii="Arial" w:cs="Arial" w:eastAsia="Arial" w:hAnsi="Arial"/>
          <w:sz w:val="18"/>
          <w:szCs w:val="18"/>
          <w:color w:val="auto"/>
        </w:rPr>
        <w:t>flow break</w:t>
      </w:r>
      <w:r>
        <w:rPr>
          <w:rFonts w:ascii="MS PGothic" w:cs="MS PGothic" w:eastAsia="MS PGothic" w:hAnsi="MS PGothic"/>
          <w:sz w:val="18"/>
          <w:szCs w:val="18"/>
          <w:color w:val="auto"/>
        </w:rPr>
        <w:t>‑</w:t>
      </w:r>
      <w:r>
        <w:rPr>
          <w:rFonts w:ascii="Arial" w:cs="Arial" w:eastAsia="Arial" w:hAnsi="Arial"/>
          <w:sz w:val="18"/>
          <w:szCs w:val="18"/>
          <w:color w:val="auto"/>
        </w:rPr>
        <w:t>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257175"/>
                    </a:xfrm>
                    <a:prstGeom prst="rect">
                      <a:avLst/>
                    </a:prstGeom>
                    <a:noFill/>
                  </pic:spPr>
                </pic:pic>
              </a:graphicData>
            </a:graphic>
          </wp:anchor>
        </w:drawing>
      </w:r>
    </w:p>
    <w:p>
      <w:pPr>
        <w:spacing w:after="0" w:line="59"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0B4B73"/>
        </w:rPr>
        <w:t>Commercial and Market Highlights</w:t>
      </w:r>
    </w:p>
    <w:p>
      <w:pPr>
        <w:spacing w:after="0" w:line="59" w:lineRule="exact"/>
        <w:rPr>
          <w:sz w:val="20"/>
          <w:szCs w:val="20"/>
          <w:color w:val="auto"/>
        </w:rPr>
      </w:pPr>
    </w:p>
    <w:p>
      <w:pPr>
        <w:ind w:left="800" w:right="439" w:hanging="443"/>
        <w:spacing w:after="0" w:line="229"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Expanding Prescriber Adoption: </w:t>
      </w:r>
      <w:r>
        <w:rPr>
          <w:rFonts w:ascii="Arial" w:cs="Arial" w:eastAsia="Arial" w:hAnsi="Arial"/>
          <w:sz w:val="18"/>
          <w:szCs w:val="18"/>
          <w:color w:val="auto"/>
        </w:rPr>
        <w:t>More than 22,500 healthcare providers have prescribed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with roughly half being repeat prescribers.</w:t>
      </w:r>
    </w:p>
    <w:p>
      <w:pPr>
        <w:spacing w:after="0" w:line="18" w:lineRule="exact"/>
        <w:rPr>
          <w:rFonts w:ascii="Times New Roman" w:cs="Times New Roman" w:eastAsia="Times New Roman" w:hAnsi="Times New Roman"/>
          <w:sz w:val="18"/>
          <w:szCs w:val="18"/>
          <w:color w:val="auto"/>
        </w:rPr>
      </w:pPr>
    </w:p>
    <w:p>
      <w:pPr>
        <w:ind w:left="800" w:right="399" w:hanging="443"/>
        <w:spacing w:after="0" w:line="217" w:lineRule="exact"/>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Improving Payor Access: : </w:t>
      </w:r>
      <w:r>
        <w:rPr>
          <w:rFonts w:ascii="Arial" w:cs="Arial" w:eastAsia="Arial" w:hAnsi="Arial"/>
          <w:sz w:val="18"/>
          <w:szCs w:val="18"/>
          <w:color w:val="auto"/>
        </w:rPr>
        <w:t>Approximately 93% of patients have commercial coverage inclusive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plans that may still require prior authorization. Approximately 57% of covered lives have access without prior authorization requirements. Eligible commercially insured patients may access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at a $0 co</w:t>
      </w:r>
      <w:r>
        <w:rPr>
          <w:rFonts w:ascii="MS PGothic" w:cs="MS PGothic" w:eastAsia="MS PGothic" w:hAnsi="MS PGothic"/>
          <w:sz w:val="18"/>
          <w:szCs w:val="18"/>
          <w:color w:val="auto"/>
        </w:rPr>
        <w:t>‑</w:t>
      </w:r>
      <w:r>
        <w:rPr>
          <w:rFonts w:ascii="Arial" w:cs="Arial" w:eastAsia="Arial" w:hAnsi="Arial"/>
          <w:sz w:val="18"/>
          <w:szCs w:val="18"/>
          <w:color w:val="auto"/>
        </w:rPr>
        <w:t>pay.</w:t>
      </w:r>
    </w:p>
    <w:p>
      <w:pPr>
        <w:spacing w:after="0" w:line="9" w:lineRule="exact"/>
        <w:rPr>
          <w:rFonts w:ascii="Times New Roman" w:cs="Times New Roman" w:eastAsia="Times New Roman" w:hAnsi="Times New Roman"/>
          <w:sz w:val="18"/>
          <w:szCs w:val="18"/>
          <w:color w:val="auto"/>
        </w:rPr>
      </w:pPr>
    </w:p>
    <w:p>
      <w:pPr>
        <w:ind w:left="800" w:right="739" w:hanging="443"/>
        <w:spacing w:after="0" w:line="262"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Enhanced Consumer Marketing: </w:t>
      </w:r>
      <w:r>
        <w:rPr>
          <w:rFonts w:ascii="Arial" w:cs="Arial" w:eastAsia="Arial" w:hAnsi="Arial"/>
          <w:sz w:val="18"/>
          <w:szCs w:val="18"/>
          <w:color w:val="auto"/>
        </w:rPr>
        <w:t>A refreshed 2026 national DTC campaign launched across</w:t>
      </w:r>
      <w:r>
        <w:rPr>
          <w:rFonts w:ascii="Arial" w:cs="Arial" w:eastAsia="Arial" w:hAnsi="Arial"/>
          <w:sz w:val="18"/>
          <w:szCs w:val="18"/>
          <w:b w:val="1"/>
          <w:bCs w:val="1"/>
          <w:color w:val="auto"/>
        </w:rPr>
        <w:t xml:space="preserve"> </w:t>
      </w:r>
      <w:r>
        <w:rPr>
          <w:rFonts w:ascii="Arial" w:cs="Arial" w:eastAsia="Arial" w:hAnsi="Arial"/>
          <w:sz w:val="18"/>
          <w:szCs w:val="18"/>
          <w:color w:val="auto"/>
        </w:rPr>
        <w:t>connected, linear, and broadcast TV to deepen patient and caregiver awareness. Aided awareness has risen from approximately 20% pre-campaign to 60% at present.</w:t>
      </w:r>
    </w:p>
    <w:p>
      <w:pPr>
        <w:spacing w:after="0" w:line="2" w:lineRule="exact"/>
        <w:rPr>
          <w:rFonts w:ascii="Times New Roman" w:cs="Times New Roman" w:eastAsia="Times New Roman" w:hAnsi="Times New Roman"/>
          <w:sz w:val="18"/>
          <w:szCs w:val="18"/>
          <w:color w:val="auto"/>
        </w:rPr>
      </w:pPr>
    </w:p>
    <w:p>
      <w:pPr>
        <w:ind w:left="800" w:right="739" w:hanging="443"/>
        <w:spacing w:after="0" w:line="210"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Patient Access Programs: </w:t>
      </w:r>
      <w:r>
        <w:rPr>
          <w:rFonts w:ascii="Arial" w:cs="Arial" w:eastAsia="Arial" w:hAnsi="Arial"/>
          <w:sz w:val="18"/>
          <w:szCs w:val="18"/>
          <w:color w:val="auto"/>
        </w:rPr>
        <w:t>Approximately 10%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prescriptions now originate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“Get </w:t>
      </w:r>
      <w:r>
        <w:rPr>
          <w:rFonts w:ascii="Arial" w:cs="Arial" w:eastAsia="Arial" w:hAnsi="Arial"/>
          <w:sz w:val="18"/>
          <w:szCs w:val="18"/>
          <w:b w:val="1"/>
          <w:bCs w:val="1"/>
          <w:i w:val="1"/>
          <w:iCs w:val="1"/>
          <w:color w:val="auto"/>
        </w:rPr>
        <w:t>neffy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on Us” program, helping reduce cost and time barriers for eligible patients by facilitating a virtual visit with an online prescriber.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wp:posOffset>
            </wp:positionV>
            <wp:extent cx="534924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257175"/>
                    </a:xfrm>
                    <a:prstGeom prst="rect">
                      <a:avLst/>
                    </a:prstGeom>
                    <a:noFill/>
                  </pic:spPr>
                </pic:pic>
              </a:graphicData>
            </a:graphic>
          </wp:anchor>
        </w:drawing>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0B4B73"/>
        </w:rPr>
        <w:t>Other Highlights</w:t>
      </w:r>
    </w:p>
    <w:p>
      <w:pPr>
        <w:spacing w:after="0" w:line="81" w:lineRule="exact"/>
        <w:rPr>
          <w:sz w:val="20"/>
          <w:szCs w:val="20"/>
          <w:color w:val="auto"/>
        </w:rPr>
      </w:pPr>
    </w:p>
    <w:p>
      <w:pPr>
        <w:jc w:val="both"/>
        <w:ind w:left="800" w:right="579" w:hanging="443"/>
        <w:spacing w:after="0" w:line="248"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Regulatory Progress: </w:t>
      </w:r>
      <w:r>
        <w:rPr>
          <w:rFonts w:ascii="Arial" w:cs="Arial" w:eastAsia="Arial" w:hAnsi="Arial"/>
          <w:sz w:val="18"/>
          <w:szCs w:val="18"/>
          <w:color w:val="auto"/>
        </w:rPr>
        <w:t>In 2025, neffy received approvals in the U.S. (1 mg); the EU and</w:t>
      </w:r>
      <w:r>
        <w:rPr>
          <w:rFonts w:ascii="Arial" w:cs="Arial" w:eastAsia="Arial" w:hAnsi="Arial"/>
          <w:sz w:val="18"/>
          <w:szCs w:val="18"/>
          <w:b w:val="1"/>
          <w:bCs w:val="1"/>
          <w:color w:val="auto"/>
        </w:rPr>
        <w:t xml:space="preserve"> </w:t>
      </w:r>
      <w:r>
        <w:rPr>
          <w:rFonts w:ascii="Arial" w:cs="Arial" w:eastAsia="Arial" w:hAnsi="Arial"/>
          <w:sz w:val="18"/>
          <w:szCs w:val="18"/>
          <w:color w:val="auto"/>
        </w:rPr>
        <w:t>China (2 mg); and Japan and Australia (1 mg and 2 mg). The product also launched in Germany and the UK.</w:t>
      </w:r>
    </w:p>
    <w:p>
      <w:pPr>
        <w:spacing w:after="0" w:line="1" w:lineRule="exact"/>
        <w:rPr>
          <w:rFonts w:ascii="Times New Roman" w:cs="Times New Roman" w:eastAsia="Times New Roman" w:hAnsi="Times New Roman"/>
          <w:sz w:val="18"/>
          <w:szCs w:val="18"/>
          <w:color w:val="auto"/>
        </w:rPr>
      </w:pPr>
    </w:p>
    <w:p>
      <w:pPr>
        <w:ind w:left="800" w:right="919" w:hanging="443"/>
        <w:spacing w:after="0" w:line="242" w:lineRule="exact"/>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Real</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World Evidence: </w:t>
      </w:r>
      <w:r>
        <w:rPr>
          <w:rFonts w:ascii="Arial" w:cs="Arial" w:eastAsia="Arial" w:hAnsi="Arial"/>
          <w:sz w:val="18"/>
          <w:szCs w:val="18"/>
          <w:color w:val="auto"/>
        </w:rPr>
        <w:t>Published outcomes show approximately 90% of patients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a single dose, consistent with injection</w:t>
      </w:r>
      <w:r>
        <w:rPr>
          <w:rFonts w:ascii="MS PGothic" w:cs="MS PGothic" w:eastAsia="MS PGothic" w:hAnsi="MS PGothic"/>
          <w:sz w:val="18"/>
          <w:szCs w:val="18"/>
          <w:color w:val="auto"/>
        </w:rPr>
        <w:t>‑</w:t>
      </w:r>
      <w:r>
        <w:rPr>
          <w:rFonts w:ascii="Arial" w:cs="Arial" w:eastAsia="Arial" w:hAnsi="Arial"/>
          <w:sz w:val="18"/>
          <w:szCs w:val="18"/>
          <w:color w:val="auto"/>
        </w:rPr>
        <w:t>based epinephrine.</w:t>
      </w:r>
    </w:p>
    <w:p>
      <w:pPr>
        <w:ind w:left="800" w:right="599" w:hanging="443"/>
        <w:spacing w:after="0" w:line="229" w:lineRule="exact"/>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School Access Growth: </w:t>
      </w:r>
      <w:r>
        <w:rPr>
          <w:rFonts w:ascii="Arial" w:cs="Arial" w:eastAsia="Arial" w:hAnsi="Arial"/>
          <w:sz w:val="18"/>
          <w:szCs w:val="18"/>
          <w:color w:val="auto"/>
        </w:rPr>
        <w:t>More than 9,000 schools participated in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neffy</w:t>
      </w:r>
      <w:r>
        <w:rPr>
          <w:rFonts w:ascii="Arial" w:cs="Arial" w:eastAsia="Arial" w:hAnsi="Arial"/>
          <w:sz w:val="18"/>
          <w:szCs w:val="18"/>
          <w:b w:val="1"/>
          <w:bCs w:val="1"/>
          <w:color w:val="auto"/>
        </w:rPr>
        <w:t xml:space="preserve">inSchools </w:t>
      </w:r>
      <w:r>
        <w:rPr>
          <w:rFonts w:ascii="Arial" w:cs="Arial" w:eastAsia="Arial" w:hAnsi="Arial"/>
          <w:sz w:val="18"/>
          <w:szCs w:val="18"/>
          <w:color w:val="auto"/>
        </w:rPr>
        <w:t>program,</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emergency</w:t>
      </w:r>
      <w:r>
        <w:rPr>
          <w:rFonts w:ascii="MS PGothic" w:cs="MS PGothic" w:eastAsia="MS PGothic" w:hAnsi="MS PGothic"/>
          <w:sz w:val="18"/>
          <w:szCs w:val="18"/>
          <w:color w:val="auto"/>
        </w:rPr>
        <w:t>‑</w:t>
      </w:r>
      <w:r>
        <w:rPr>
          <w:rFonts w:ascii="Arial" w:cs="Arial" w:eastAsia="Arial" w:hAnsi="Arial"/>
          <w:sz w:val="18"/>
          <w:szCs w:val="18"/>
          <w:color w:val="auto"/>
        </w:rPr>
        <w:t>use product at no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wp:posOffset>
            </wp:positionV>
            <wp:extent cx="5349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29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Highlights of Our 2025 Executive Compensation Program</w:t>
      </w:r>
    </w:p>
    <w:p>
      <w:pPr>
        <w:spacing w:after="0" w:line="123"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We seek to attract, reward and retain our NEOs with competitive compensation packages that directly align pay with performance. The caliber of our performance in the areas of research, clinical and regulatory milestones determine the degree to which NEOs earn bonuses. With respect to compensation decisions for 2025, the Compensation Committee considered how our incentives provided appropriate levels of compensation considering our performance and growth stage. Key decisions included:</w:t>
      </w:r>
    </w:p>
    <w:p>
      <w:pPr>
        <w:spacing w:after="0" w:line="28" w:lineRule="exact"/>
        <w:rPr>
          <w:sz w:val="20"/>
          <w:szCs w:val="20"/>
          <w:color w:val="auto"/>
        </w:rPr>
      </w:pPr>
    </w:p>
    <w:p>
      <w:pPr>
        <w:jc w:val="both"/>
        <w:ind w:left="1180" w:right="299" w:hanging="448"/>
        <w:spacing w:after="0" w:line="214" w:lineRule="exact"/>
        <w:tabs>
          <w:tab w:leader="none" w:pos="11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Emphasis on performance</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based pay: </w:t>
      </w:r>
      <w:r>
        <w:rPr>
          <w:rFonts w:ascii="Arial" w:cs="Arial" w:eastAsia="Arial" w:hAnsi="Arial"/>
          <w:sz w:val="18"/>
          <w:szCs w:val="18"/>
          <w:color w:val="auto"/>
        </w:rPr>
        <w:t>Executive compensation is linked directly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our business, with a majority of our NEOs’ annual target compensation being variable and at-risk. Our NEOs’ compensation is at risk because a significant portion depends on the achievement of pre-set, objective company goals under our annual incentive program and on the value of equity awards tied to stock price appreciation. For 2025, approximately 90% of our CEO’s target total direct compensation and approximately 82% of our other NEOs’ target compensation, on average, was variable, at-risk compensation, each as shown in the graphics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B4B73"/>
        </w:rPr>
        <w:t>2025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148590</wp:posOffset>
            </wp:positionV>
            <wp:extent cx="5340350" cy="26492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035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180" w:right="299" w:hanging="448"/>
        <w:spacing w:after="0" w:line="238" w:lineRule="auto"/>
        <w:tabs>
          <w:tab w:leader="none" w:pos="11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Appropriate base salary adjustments: </w:t>
      </w:r>
      <w:r>
        <w:rPr>
          <w:rFonts w:ascii="Arial" w:cs="Arial" w:eastAsia="Arial" w:hAnsi="Arial"/>
          <w:sz w:val="18"/>
          <w:szCs w:val="18"/>
          <w:color w:val="auto"/>
        </w:rPr>
        <w:t>For 2025, 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recommended, and the Board approved, an increase to Mr. Lowenthal’s base salary of 7.5% to better align his base salary with market levels for chief executive officers of similarly sized companies in our industry, and based on the Compensation Committee’s and Board’s assessment of his performance and leadership in advancing the Company’s strategic priorities. For 2025, the Compensation Committee approved a 7.6% increase in Dr. Tanimoto’s base salary and a 16.1% increase in Mr. Chakma’s base salary, in each case following its review of competitive market data for their respective roles, to more appropriately position their base salaries relative to similarly situated executives at peer companies, as well as based on the Compensation Committee’s consideration of their individual performance and responsibilities.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jc w:val="both"/>
        <w:ind w:left="1180" w:right="299" w:hanging="448"/>
        <w:spacing w:after="0"/>
        <w:tabs>
          <w:tab w:leader="none" w:pos="11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Bonuses based on results: </w:t>
      </w:r>
      <w:r>
        <w:rPr>
          <w:rFonts w:ascii="Arial" w:cs="Arial" w:eastAsia="Arial" w:hAnsi="Arial"/>
          <w:sz w:val="18"/>
          <w:szCs w:val="18"/>
          <w:color w:val="auto"/>
        </w:rPr>
        <w:t>Our annual performance-based bonus opportunity is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cash incentive program that is intended to motivate and reward our NEOs for the achievement of key strategic goals of the Company. Annual bonuses were determined using research, clinical, financial and regulatory goals. The Board certified 2025 corporate performance at 75% of target, and individual goals for Dr. Tanimoto and Mr. Chakma were both met at 100%. As a result, Mr. Lowenthal earned a payout at 75% of target, and Dr. Tanimoto and Mr. Chakma each earned a payout at 82.5% of target.</w:t>
      </w:r>
    </w:p>
    <w:p>
      <w:pPr>
        <w:spacing w:after="0" w:line="35" w:lineRule="exact"/>
        <w:rPr>
          <w:rFonts w:ascii="Times New Roman" w:cs="Times New Roman" w:eastAsia="Times New Roman" w:hAnsi="Times New Roman"/>
          <w:sz w:val="18"/>
          <w:szCs w:val="18"/>
          <w:color w:val="auto"/>
        </w:rPr>
      </w:pPr>
    </w:p>
    <w:p>
      <w:pPr>
        <w:jc w:val="both"/>
        <w:ind w:left="1180" w:right="299" w:hanging="448"/>
        <w:spacing w:after="0" w:line="221" w:lineRule="exact"/>
        <w:tabs>
          <w:tab w:leader="none" w:pos="11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Long</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term incentives focused on alignment and retention: </w:t>
      </w:r>
      <w:r>
        <w:rPr>
          <w:rFonts w:ascii="Arial" w:cs="Arial" w:eastAsia="Arial" w:hAnsi="Arial"/>
          <w:sz w:val="18"/>
          <w:szCs w:val="18"/>
          <w:color w:val="auto"/>
        </w:rPr>
        <w:t>For 2025, the Board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to all NEOs because stock options only have economic value if our stock price increases, thereby aligning the NEOs’ compensation with stockholder interests and incenting stockholder value creation.</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Key Governance Features in our Compensation Program</w:t>
      </w:r>
    </w:p>
    <w:p>
      <w:pPr>
        <w:spacing w:after="0" w:line="133" w:lineRule="exact"/>
        <w:rPr>
          <w:sz w:val="20"/>
          <w:szCs w:val="20"/>
          <w:color w:val="auto"/>
        </w:rPr>
      </w:pPr>
    </w:p>
    <w:p>
      <w:pPr>
        <w:ind w:left="1980"/>
        <w:spacing w:after="0"/>
        <w:tabs>
          <w:tab w:leader="none" w:pos="5920" w:val="left"/>
        </w:tabs>
        <w:rPr>
          <w:sz w:val="20"/>
          <w:szCs w:val="20"/>
          <w:color w:val="auto"/>
        </w:rPr>
      </w:pPr>
      <w:r>
        <w:rPr>
          <w:rFonts w:ascii="Arial" w:cs="Arial" w:eastAsia="Arial" w:hAnsi="Arial"/>
          <w:sz w:val="14"/>
          <w:szCs w:val="14"/>
          <w:b w:val="1"/>
          <w:bCs w:val="1"/>
          <w:color w:val="FFFFFF"/>
        </w:rPr>
        <w:t>What We Do</w:t>
      </w:r>
      <w:r>
        <w:rPr>
          <w:sz w:val="20"/>
          <w:szCs w:val="20"/>
          <w:color w:val="auto"/>
        </w:rPr>
        <w:tab/>
      </w:r>
      <w:r>
        <w:rPr>
          <w:rFonts w:ascii="Arial" w:cs="Arial" w:eastAsia="Arial" w:hAnsi="Arial"/>
          <w:sz w:val="14"/>
          <w:szCs w:val="14"/>
          <w:b w:val="1"/>
          <w:bCs w:val="1"/>
          <w:color w:val="FFFFF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-95885</wp:posOffset>
            </wp:positionV>
            <wp:extent cx="534924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p>
      <w:pPr>
        <w:spacing w:after="0" w:line="6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Pay-for-performance philosophy</w:t>
      </w:r>
    </w:p>
    <w:p>
      <w:pPr>
        <w:spacing w:after="0" w:line="46" w:lineRule="exact"/>
        <w:rPr>
          <w:sz w:val="20"/>
          <w:szCs w:val="20"/>
          <w:color w:val="auto"/>
        </w:rPr>
      </w:pPr>
    </w:p>
    <w:p>
      <w:pPr>
        <w:ind w:left="780"/>
        <w:spacing w:after="0" w:line="256" w:lineRule="auto"/>
        <w:rPr>
          <w:sz w:val="20"/>
          <w:szCs w:val="20"/>
          <w:color w:val="auto"/>
        </w:rPr>
      </w:pPr>
      <w:r>
        <w:rPr>
          <w:rFonts w:ascii="Arial" w:cs="Arial" w:eastAsia="Arial" w:hAnsi="Arial"/>
          <w:sz w:val="16"/>
          <w:szCs w:val="16"/>
          <w:color w:val="auto"/>
        </w:rPr>
        <w:t>An appropriate mix of short- and long-term incentives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-205105</wp:posOffset>
            </wp:positionV>
            <wp:extent cx="5349240" cy="608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608330"/>
                    </a:xfrm>
                    <a:prstGeom prst="rect">
                      <a:avLst/>
                    </a:prstGeom>
                    <a:noFill/>
                  </pic:spPr>
                </pic:pic>
              </a:graphicData>
            </a:graphic>
          </wp:anchor>
        </w:drawing>
      </w:r>
    </w:p>
    <w:p>
      <w:pPr>
        <w:ind w:left="780"/>
        <w:spacing w:after="0" w:line="253" w:lineRule="auto"/>
        <w:rPr>
          <w:sz w:val="20"/>
          <w:szCs w:val="20"/>
          <w:color w:val="auto"/>
        </w:rPr>
      </w:pPr>
      <w:r>
        <w:rPr>
          <w:rFonts w:ascii="Arial" w:cs="Arial" w:eastAsia="Arial" w:hAnsi="Arial"/>
          <w:sz w:val="16"/>
          <w:szCs w:val="16"/>
          <w:color w:val="auto"/>
        </w:rPr>
        <w:t>Perform an annual risk assessment of our compensation program</w:t>
      </w:r>
    </w:p>
    <w:p>
      <w:pPr>
        <w:spacing w:after="0" w:line="1" w:lineRule="exact"/>
        <w:rPr>
          <w:sz w:val="20"/>
          <w:szCs w:val="20"/>
          <w:color w:val="auto"/>
        </w:rPr>
      </w:pPr>
    </w:p>
    <w:p>
      <w:pPr>
        <w:ind w:left="780" w:right="100"/>
        <w:spacing w:after="0" w:line="396" w:lineRule="auto"/>
        <w:rPr>
          <w:sz w:val="20"/>
          <w:szCs w:val="20"/>
          <w:color w:val="auto"/>
        </w:rPr>
      </w:pPr>
      <w:r>
        <w:rPr>
          <w:rFonts w:ascii="Arial" w:cs="Arial" w:eastAsia="Arial" w:hAnsi="Arial"/>
          <w:sz w:val="16"/>
          <w:szCs w:val="16"/>
          <w:color w:val="auto"/>
        </w:rPr>
        <w:t>Engage an independent compensation consultant “Double-trigger” change-in-control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-230505</wp:posOffset>
            </wp:positionV>
            <wp:extent cx="534924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ind w:left="780"/>
        <w:spacing w:after="0" w:line="256" w:lineRule="auto"/>
        <w:rPr>
          <w:sz w:val="20"/>
          <w:szCs w:val="20"/>
          <w:color w:val="auto"/>
        </w:rPr>
      </w:pPr>
      <w:r>
        <w:rPr>
          <w:rFonts w:ascii="Arial" w:cs="Arial" w:eastAsia="Arial" w:hAnsi="Arial"/>
          <w:sz w:val="16"/>
          <w:szCs w:val="16"/>
          <w:color w:val="auto"/>
        </w:rPr>
        <w:t>Maintain a compensation recovery policy to ensure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-205105</wp:posOffset>
            </wp:positionV>
            <wp:extent cx="16256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ind w:left="780"/>
        <w:spacing w:after="0" w:line="265" w:lineRule="auto"/>
        <w:rPr>
          <w:sz w:val="20"/>
          <w:szCs w:val="20"/>
          <w:color w:val="auto"/>
        </w:rPr>
      </w:pPr>
      <w:r>
        <w:rPr>
          <w:rFonts w:ascii="Arial" w:cs="Arial" w:eastAsia="Arial" w:hAnsi="Arial"/>
          <w:sz w:val="16"/>
          <w:szCs w:val="16"/>
          <w:color w:val="auto"/>
        </w:rPr>
        <w:t>Review peer group and peer pay regularly as a reference point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16319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000000"/>
                        </a:clrFrom>
                        <a:clrTo>
                          <a:srgbClr val="000000">
                            <a:alpha val="0"/>
                          </a:srgbClr>
                        </a:clrTo>
                      </a:clrChange>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72390</wp:posOffset>
            </wp:positionV>
            <wp:extent cx="16319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No hedging or pledging of our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 discounted stock options awards</w:t>
      </w:r>
    </w:p>
    <w:p>
      <w:pPr>
        <w:spacing w:after="0" w:line="46" w:lineRule="exact"/>
        <w:rPr>
          <w:sz w:val="20"/>
          <w:szCs w:val="20"/>
          <w:color w:val="auto"/>
        </w:rPr>
      </w:pPr>
    </w:p>
    <w:p>
      <w:pPr>
        <w:ind w:right="799"/>
        <w:spacing w:after="0" w:line="256" w:lineRule="auto"/>
        <w:rPr>
          <w:sz w:val="20"/>
          <w:szCs w:val="20"/>
          <w:color w:val="auto"/>
        </w:rPr>
      </w:pPr>
      <w:r>
        <w:rPr>
          <w:rFonts w:ascii="Arial" w:cs="Arial" w:eastAsia="Arial" w:hAnsi="Arial"/>
          <w:sz w:val="16"/>
          <w:szCs w:val="16"/>
          <w:color w:val="auto"/>
        </w:rPr>
        <w:t>No guaranteed base salary increases and no guaranteed bonuses</w:t>
      </w:r>
    </w:p>
    <w:p>
      <w:pPr>
        <w:spacing w:after="0" w:line="1" w:lineRule="exact"/>
        <w:rPr>
          <w:sz w:val="20"/>
          <w:szCs w:val="20"/>
          <w:color w:val="auto"/>
        </w:rPr>
      </w:pPr>
    </w:p>
    <w:p>
      <w:pPr>
        <w:ind w:right="619"/>
        <w:spacing w:after="0" w:line="265" w:lineRule="auto"/>
        <w:rPr>
          <w:sz w:val="20"/>
          <w:szCs w:val="20"/>
          <w:color w:val="auto"/>
        </w:rPr>
      </w:pPr>
      <w:r>
        <w:rPr>
          <w:rFonts w:ascii="Arial" w:cs="Arial" w:eastAsia="Arial" w:hAnsi="Arial"/>
          <w:sz w:val="16"/>
          <w:szCs w:val="16"/>
          <w:color w:val="auto"/>
        </w:rPr>
        <w:t>No post-termination retirement benefits that are not available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-224155</wp:posOffset>
            </wp:positionV>
            <wp:extent cx="163195"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195" cy="162560"/>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4440" w:space="560"/>
            <w:col w:w="4019"/>
          </w:cols>
          <w:pgMar w:left="1440" w:top="1417" w:right="1440" w:bottom="1440" w:gutter="0" w:footer="0" w:header="0"/>
          <w:type w:val="continuous"/>
        </w:sectPr>
      </w:pPr>
    </w:p>
    <w:p>
      <w:pPr>
        <w:spacing w:after="0" w:line="69"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Compensation Determination Process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Role of the Compensation Committee</w:t>
      </w:r>
    </w:p>
    <w:p>
      <w:pPr>
        <w:spacing w:after="0" w:line="106"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The Compensation Committee, or the Board upon recommendation from the Compensation Committee, establishes the annual compensation, including salaries, performance-based bonus opportunity and equity awards, for our executive officers. In the case of the Chief Executive Officer, the Compensation Committee evaluates his performance and recommends to the Board any adjustments to his compensation.</w:t>
      </w:r>
    </w:p>
    <w:p>
      <w:pPr>
        <w:spacing w:after="0" w:line="176"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The compensation of our NEOs other than Mr. Lowenthal is generally determined and approved by our Compensation Committee. The Compensation Committee has strict protocols to avoid conflicts of interest and to maintain confidentiality in connection with determinations of the compensation of our Chief Medical Officer, who is the spouse of Mr. Lowenthal, our President and Chief Executive Officer, The compensation of Mr. Lowenthal is determined and approved by our Board without members of management present, based on recommendations from our Compensation Committee.</w:t>
      </w:r>
    </w:p>
    <w:p>
      <w:pPr>
        <w:spacing w:after="0" w:line="179"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Generally, the Compensation Committee’s process comprises two related elements: the determination of compensation levels and the establishment of performance objectives for the current year. The Compensation Committee has the authority to establish the compensation mix it believes is appropriate for each executive officer, as well as any performance measures, goals, targets and business objectives that may be applicable with respect to any component of such compensation mix. The Compensation Committee further determines the severance arrangements that we make available to executive officers.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45" w:name="page46"/>
    <w:bookmarkEnd w:id="45"/>
    <w:p>
      <w:pPr>
        <w:jc w:val="both"/>
        <w:ind w:left="300" w:right="299" w:firstLine="441"/>
        <w:spacing w:after="0" w:line="247" w:lineRule="auto"/>
        <w:rPr>
          <w:sz w:val="20"/>
          <w:szCs w:val="20"/>
          <w:color w:val="auto"/>
        </w:rPr>
      </w:pPr>
      <w:r>
        <w:rPr>
          <w:rFonts w:ascii="Arial" w:cs="Arial" w:eastAsia="Arial" w:hAnsi="Arial"/>
          <w:sz w:val="18"/>
          <w:szCs w:val="18"/>
          <w:color w:val="auto"/>
        </w:rPr>
        <w:t>The Compensation Committee meets periodically throughout the year to manage and evaluate our executive compensation program and generally determines, subject to any Board approval the Compensation Committee requests, the principal components of compensation (base salary, performance bonus and equity awards) for our executive officers on an annual basis.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Role of the Compensation Consultant</w:t>
      </w:r>
    </w:p>
    <w:p>
      <w:pPr>
        <w:spacing w:after="0" w:line="106"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The Compensation Committee recognizes that there is value in procuring independent, objective expertise and counsel in connection with fulfilling its duties, and, pursuant to its charter, the Compensation Committee has the authority to select and retain independent advisors and counsel to assist it with carrying out its duties and responsibilities. The Compensation Committee has exercised this authority to engage Aon as its independent compensation consultant and has worked with Aon to develop a compensation peer group, provide a competitive market analysis of the base salary, annual cash incentive awards and long-term incentive compensation of our executive officers compared against the compensation peer group, report on share utilization and review other market practices and trends.</w:t>
      </w:r>
    </w:p>
    <w:p>
      <w:pPr>
        <w:spacing w:after="0" w:line="180"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While the Compensation Committee took into consideration the review and recommendations of Aon, as well as the practices of our compensation peer group, when making decisions about our executive compensation program, ultimately, the Compensation Committee made its own independent decisions in determining our executives’ compensation.</w:t>
      </w:r>
    </w:p>
    <w:p>
      <w:pPr>
        <w:spacing w:after="0" w:line="174"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The Compensation Committee has assessed the independence of Aon pursuant to SEC and Nasdaq rules. In doing so, the Compensation Committee considered each of the factors set forth by the SEC and Nasdaq with respect to a compensation consultant’s independence and reviewed Aon’s own self-evaluations of, and conclusions regarding, its independence. Based on its consideration of the foregoing and other relevant factors, the Compensation Committee concluded that there were no conflicts of interest and that Aon is independent.</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B4B73"/>
        </w:rPr>
        <w:t>Peer Group</w:t>
      </w:r>
    </w:p>
    <w:p>
      <w:pPr>
        <w:spacing w:after="0" w:line="102"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We use a peer group to provide a broad perspective on competitive pay levels and practices. The Compensation Committee, with the assistance of Aon, in October 2024 adopted a peer group consisting of similar companies with respect to sector, stage of development and market capitalization for use in connection with decisions about 2025 executive compensation. The peer group was ultimately chosen based on the following characteristics:</w:t>
      </w:r>
    </w:p>
    <w:p>
      <w:pPr>
        <w:spacing w:after="0" w:line="68" w:lineRule="exact"/>
        <w:rPr>
          <w:sz w:val="20"/>
          <w:szCs w:val="20"/>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Sector—</w:t>
      </w:r>
      <w:r>
        <w:rPr>
          <w:rFonts w:ascii="Arial" w:cs="Arial" w:eastAsia="Arial" w:hAnsi="Arial"/>
          <w:sz w:val="18"/>
          <w:szCs w:val="18"/>
          <w:color w:val="auto"/>
        </w:rPr>
        <w:t>Biotechnology/Pharmaceuticals companies</w:t>
      </w:r>
    </w:p>
    <w:p>
      <w:pPr>
        <w:spacing w:after="0" w:line="116"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Stage of Development—</w:t>
      </w:r>
      <w:r>
        <w:rPr>
          <w:rFonts w:ascii="Arial" w:cs="Arial" w:eastAsia="Arial" w:hAnsi="Arial"/>
          <w:sz w:val="18"/>
          <w:szCs w:val="18"/>
          <w:color w:val="auto"/>
        </w:rPr>
        <w:t>Seeking NDA approval, as well as recently commercial companies</w:t>
      </w:r>
    </w:p>
    <w:p>
      <w:pPr>
        <w:spacing w:after="0" w:line="116" w:lineRule="exact"/>
        <w:rPr>
          <w:rFonts w:ascii="Times New Roman" w:cs="Times New Roman" w:eastAsia="Times New Roman" w:hAnsi="Times New Roman"/>
          <w:sz w:val="18"/>
          <w:szCs w:val="18"/>
          <w:color w:val="auto"/>
        </w:rPr>
      </w:pPr>
    </w:p>
    <w:p>
      <w:pPr>
        <w:ind w:left="940" w:right="299" w:hanging="324"/>
        <w:spacing w:after="0" w:line="270" w:lineRule="auto"/>
        <w:tabs>
          <w:tab w:leader="none" w:pos="9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Market capitalization—</w:t>
      </w:r>
      <w:r>
        <w:rPr>
          <w:rFonts w:ascii="Arial" w:cs="Arial" w:eastAsia="Arial" w:hAnsi="Arial"/>
          <w:sz w:val="18"/>
          <w:szCs w:val="18"/>
          <w:color w:val="auto"/>
        </w:rPr>
        <w:t>Generally between 0.3x and 3.0x ARS’ market capitalization, or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$400 million and $3.8 billion, based on our market capitalization at the time of the analysis</w:t>
      </w:r>
    </w:p>
    <w:p>
      <w:pPr>
        <w:spacing w:after="0" w:line="46"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Approximately 0.5x to 3x our projected revenues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46" w:name="page47"/>
    <w:bookmarkEnd w:id="46"/>
    <w:p>
      <w:pPr>
        <w:jc w:val="both"/>
        <w:ind w:left="300" w:right="299" w:firstLine="441"/>
        <w:spacing w:after="0" w:line="253" w:lineRule="auto"/>
        <w:rPr>
          <w:sz w:val="20"/>
          <w:szCs w:val="20"/>
          <w:color w:val="auto"/>
        </w:rPr>
      </w:pPr>
      <w:r>
        <w:rPr>
          <w:rFonts w:ascii="Arial" w:cs="Arial" w:eastAsia="Arial" w:hAnsi="Arial"/>
          <w:sz w:val="18"/>
          <w:szCs w:val="18"/>
          <w:color w:val="auto"/>
        </w:rPr>
        <w:t>Input from external investors and the broader talent market also informed the selection. Applying these criteria, the Compensation Committee approved 18 companies to serve as the peer group for 2025 compensation decisions.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520" w:type="dxa"/>
            <w:vAlign w:val="bottom"/>
            <w:shd w:val="clear" w:color="auto" w:fill="E4EDF1"/>
          </w:tcPr>
          <w:p>
            <w:pPr>
              <w:ind w:left="60"/>
              <w:spacing w:after="0"/>
              <w:rPr>
                <w:sz w:val="20"/>
                <w:szCs w:val="20"/>
                <w:color w:val="auto"/>
              </w:rPr>
            </w:pPr>
            <w:r>
              <w:rPr>
                <w:rFonts w:ascii="Arial" w:cs="Arial" w:eastAsia="Arial" w:hAnsi="Arial"/>
                <w:sz w:val="18"/>
                <w:szCs w:val="18"/>
                <w:color w:val="auto"/>
              </w:rPr>
              <w:t>Agios Pharmaceuticals, Inc.</w:t>
            </w:r>
          </w:p>
        </w:tc>
        <w:tc>
          <w:tcPr>
            <w:tcW w:w="4900" w:type="dxa"/>
            <w:vAlign w:val="bottom"/>
            <w:shd w:val="clear" w:color="auto" w:fill="E4EDF1"/>
          </w:tcPr>
          <w:p>
            <w:pPr>
              <w:ind w:left="740"/>
              <w:spacing w:after="0"/>
              <w:rPr>
                <w:sz w:val="20"/>
                <w:szCs w:val="20"/>
                <w:color w:val="auto"/>
              </w:rPr>
            </w:pPr>
            <w:r>
              <w:rPr>
                <w:rFonts w:ascii="Arial" w:cs="Arial" w:eastAsia="Arial" w:hAnsi="Arial"/>
                <w:sz w:val="18"/>
                <w:szCs w:val="18"/>
                <w:color w:val="auto"/>
              </w:rPr>
              <w:t>Liquidia Corporation</w:t>
            </w:r>
          </w:p>
        </w:tc>
      </w:tr>
      <w:tr>
        <w:trPr>
          <w:trHeight w:val="203"/>
        </w:trPr>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Alector, Inc.</w:t>
            </w:r>
          </w:p>
        </w:tc>
        <w:tc>
          <w:tcPr>
            <w:tcW w:w="4900" w:type="dxa"/>
            <w:vAlign w:val="bottom"/>
          </w:tcPr>
          <w:p>
            <w:pPr>
              <w:ind w:left="740"/>
              <w:spacing w:after="0" w:line="202" w:lineRule="exact"/>
              <w:rPr>
                <w:sz w:val="20"/>
                <w:szCs w:val="20"/>
                <w:color w:val="auto"/>
              </w:rPr>
            </w:pPr>
            <w:r>
              <w:rPr>
                <w:rFonts w:ascii="Arial" w:cs="Arial" w:eastAsia="Arial" w:hAnsi="Arial"/>
                <w:sz w:val="18"/>
                <w:szCs w:val="18"/>
                <w:color w:val="auto"/>
              </w:rPr>
              <w:t>Mirum Pharmaceuticals, Inc.</w:t>
            </w:r>
          </w:p>
        </w:tc>
      </w:tr>
      <w:tr>
        <w:trPr>
          <w:trHeight w:val="203"/>
        </w:trPr>
        <w:tc>
          <w:tcPr>
            <w:tcW w:w="3520" w:type="dxa"/>
            <w:vAlign w:val="bottom"/>
            <w:shd w:val="clear" w:color="auto" w:fill="E4EDF1"/>
          </w:tcPr>
          <w:p>
            <w:pPr>
              <w:ind w:left="60"/>
              <w:spacing w:after="0" w:line="202" w:lineRule="exact"/>
              <w:rPr>
                <w:sz w:val="20"/>
                <w:szCs w:val="20"/>
                <w:color w:val="auto"/>
              </w:rPr>
            </w:pPr>
            <w:r>
              <w:rPr>
                <w:rFonts w:ascii="Arial" w:cs="Arial" w:eastAsia="Arial" w:hAnsi="Arial"/>
                <w:sz w:val="18"/>
                <w:szCs w:val="18"/>
                <w:color w:val="auto"/>
              </w:rPr>
              <w:t>AnaptysBio, Inc.</w:t>
            </w:r>
          </w:p>
        </w:tc>
        <w:tc>
          <w:tcPr>
            <w:tcW w:w="4900" w:type="dxa"/>
            <w:vAlign w:val="bottom"/>
            <w:shd w:val="clear" w:color="auto" w:fill="E4EDF1"/>
          </w:tcPr>
          <w:p>
            <w:pPr>
              <w:ind w:left="740"/>
              <w:spacing w:after="0" w:line="202" w:lineRule="exact"/>
              <w:rPr>
                <w:sz w:val="20"/>
                <w:szCs w:val="20"/>
                <w:color w:val="auto"/>
              </w:rPr>
            </w:pPr>
            <w:r>
              <w:rPr>
                <w:rFonts w:ascii="Arial" w:cs="Arial" w:eastAsia="Arial" w:hAnsi="Arial"/>
                <w:sz w:val="18"/>
                <w:szCs w:val="18"/>
                <w:color w:val="auto"/>
              </w:rPr>
              <w:t>Protagonist Therapeutics, Inc.</w:t>
            </w:r>
          </w:p>
        </w:tc>
      </w:tr>
      <w:tr>
        <w:trPr>
          <w:trHeight w:val="203"/>
        </w:trPr>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Arcutis Biotherapeutics, Inc.</w:t>
            </w:r>
          </w:p>
        </w:tc>
        <w:tc>
          <w:tcPr>
            <w:tcW w:w="4900" w:type="dxa"/>
            <w:vAlign w:val="bottom"/>
          </w:tcPr>
          <w:p>
            <w:pPr>
              <w:ind w:left="740"/>
              <w:spacing w:after="0" w:line="202" w:lineRule="exact"/>
              <w:rPr>
                <w:sz w:val="20"/>
                <w:szCs w:val="20"/>
                <w:color w:val="auto"/>
              </w:rPr>
            </w:pPr>
            <w:r>
              <w:rPr>
                <w:rFonts w:ascii="Arial" w:cs="Arial" w:eastAsia="Arial" w:hAnsi="Arial"/>
                <w:sz w:val="18"/>
                <w:szCs w:val="18"/>
                <w:color w:val="auto"/>
              </w:rPr>
              <w:t>Revance Therapeutics, Inc.</w:t>
            </w:r>
          </w:p>
        </w:tc>
      </w:tr>
      <w:tr>
        <w:trPr>
          <w:trHeight w:val="203"/>
        </w:trPr>
        <w:tc>
          <w:tcPr>
            <w:tcW w:w="3520" w:type="dxa"/>
            <w:vAlign w:val="bottom"/>
            <w:shd w:val="clear" w:color="auto" w:fill="E4EDF1"/>
          </w:tcPr>
          <w:p>
            <w:pPr>
              <w:ind w:left="60"/>
              <w:spacing w:after="0" w:line="202" w:lineRule="exact"/>
              <w:rPr>
                <w:sz w:val="20"/>
                <w:szCs w:val="20"/>
                <w:color w:val="auto"/>
              </w:rPr>
            </w:pPr>
            <w:r>
              <w:rPr>
                <w:rFonts w:ascii="Arial" w:cs="Arial" w:eastAsia="Arial" w:hAnsi="Arial"/>
                <w:sz w:val="18"/>
                <w:szCs w:val="18"/>
                <w:color w:val="auto"/>
              </w:rPr>
              <w:t>Avadel Pharmaceuticals plc</w:t>
            </w:r>
          </w:p>
        </w:tc>
        <w:tc>
          <w:tcPr>
            <w:tcW w:w="4900" w:type="dxa"/>
            <w:vAlign w:val="bottom"/>
            <w:shd w:val="clear" w:color="auto" w:fill="E4EDF1"/>
          </w:tcPr>
          <w:p>
            <w:pPr>
              <w:ind w:left="740"/>
              <w:spacing w:after="0" w:line="202" w:lineRule="exact"/>
              <w:rPr>
                <w:sz w:val="20"/>
                <w:szCs w:val="20"/>
                <w:color w:val="auto"/>
              </w:rPr>
            </w:pPr>
            <w:r>
              <w:rPr>
                <w:rFonts w:ascii="Arial" w:cs="Arial" w:eastAsia="Arial" w:hAnsi="Arial"/>
                <w:sz w:val="18"/>
                <w:szCs w:val="18"/>
                <w:color w:val="auto"/>
              </w:rPr>
              <w:t>Rigel Pharmaceuticals, Inc.</w:t>
            </w:r>
          </w:p>
        </w:tc>
      </w:tr>
      <w:tr>
        <w:trPr>
          <w:trHeight w:val="203"/>
        </w:trPr>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Cogent Biosciences, Inc.</w:t>
            </w:r>
          </w:p>
        </w:tc>
        <w:tc>
          <w:tcPr>
            <w:tcW w:w="4900" w:type="dxa"/>
            <w:vAlign w:val="bottom"/>
          </w:tcPr>
          <w:p>
            <w:pPr>
              <w:ind w:left="740"/>
              <w:spacing w:after="0" w:line="202" w:lineRule="exact"/>
              <w:rPr>
                <w:sz w:val="20"/>
                <w:szCs w:val="20"/>
                <w:color w:val="auto"/>
              </w:rPr>
            </w:pPr>
            <w:r>
              <w:rPr>
                <w:rFonts w:ascii="Arial" w:cs="Arial" w:eastAsia="Arial" w:hAnsi="Arial"/>
                <w:sz w:val="18"/>
                <w:szCs w:val="18"/>
                <w:color w:val="auto"/>
              </w:rPr>
              <w:t>Syndax Pharmaceuticals, Inc.</w:t>
            </w:r>
          </w:p>
        </w:tc>
      </w:tr>
      <w:tr>
        <w:trPr>
          <w:trHeight w:val="203"/>
        </w:trPr>
        <w:tc>
          <w:tcPr>
            <w:tcW w:w="3520" w:type="dxa"/>
            <w:vAlign w:val="bottom"/>
            <w:shd w:val="clear" w:color="auto" w:fill="E4EDF1"/>
          </w:tcPr>
          <w:p>
            <w:pPr>
              <w:ind w:left="60"/>
              <w:spacing w:after="0" w:line="202" w:lineRule="exact"/>
              <w:rPr>
                <w:sz w:val="20"/>
                <w:szCs w:val="20"/>
                <w:color w:val="auto"/>
              </w:rPr>
            </w:pPr>
            <w:r>
              <w:rPr>
                <w:rFonts w:ascii="Arial" w:cs="Arial" w:eastAsia="Arial" w:hAnsi="Arial"/>
                <w:sz w:val="18"/>
                <w:szCs w:val="18"/>
                <w:color w:val="auto"/>
              </w:rPr>
              <w:t>Day One Biopharmaceuticals, Inc.</w:t>
            </w:r>
          </w:p>
        </w:tc>
        <w:tc>
          <w:tcPr>
            <w:tcW w:w="4900" w:type="dxa"/>
            <w:vAlign w:val="bottom"/>
            <w:shd w:val="clear" w:color="auto" w:fill="E4EDF1"/>
          </w:tcPr>
          <w:p>
            <w:pPr>
              <w:ind w:left="740"/>
              <w:spacing w:after="0" w:line="202" w:lineRule="exact"/>
              <w:rPr>
                <w:sz w:val="20"/>
                <w:szCs w:val="20"/>
                <w:color w:val="auto"/>
              </w:rPr>
            </w:pPr>
            <w:r>
              <w:rPr>
                <w:rFonts w:ascii="Arial" w:cs="Arial" w:eastAsia="Arial" w:hAnsi="Arial"/>
                <w:sz w:val="18"/>
                <w:szCs w:val="18"/>
                <w:color w:val="auto"/>
              </w:rPr>
              <w:t>Tarsus Pharmaceuticals, Inc.</w:t>
            </w:r>
          </w:p>
        </w:tc>
      </w:tr>
      <w:tr>
        <w:trPr>
          <w:trHeight w:val="203"/>
        </w:trPr>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Geron Corporation</w:t>
            </w:r>
          </w:p>
        </w:tc>
        <w:tc>
          <w:tcPr>
            <w:tcW w:w="4900" w:type="dxa"/>
            <w:vAlign w:val="bottom"/>
          </w:tcPr>
          <w:p>
            <w:pPr>
              <w:ind w:left="740"/>
              <w:spacing w:after="0" w:line="202" w:lineRule="exact"/>
              <w:rPr>
                <w:sz w:val="20"/>
                <w:szCs w:val="20"/>
                <w:color w:val="auto"/>
              </w:rPr>
            </w:pPr>
            <w:r>
              <w:rPr>
                <w:rFonts w:ascii="Arial" w:cs="Arial" w:eastAsia="Arial" w:hAnsi="Arial"/>
                <w:sz w:val="18"/>
                <w:szCs w:val="18"/>
                <w:color w:val="auto"/>
              </w:rPr>
              <w:t>TG Therapeutics, Inc.</w:t>
            </w:r>
          </w:p>
        </w:tc>
      </w:tr>
      <w:tr>
        <w:trPr>
          <w:trHeight w:val="203"/>
        </w:trPr>
        <w:tc>
          <w:tcPr>
            <w:tcW w:w="3520" w:type="dxa"/>
            <w:vAlign w:val="bottom"/>
            <w:shd w:val="clear" w:color="auto" w:fill="E4EDF1"/>
          </w:tcPr>
          <w:p>
            <w:pPr>
              <w:ind w:left="60"/>
              <w:spacing w:after="0" w:line="202" w:lineRule="exact"/>
              <w:rPr>
                <w:sz w:val="20"/>
                <w:szCs w:val="20"/>
                <w:color w:val="auto"/>
              </w:rPr>
            </w:pPr>
            <w:r>
              <w:rPr>
                <w:rFonts w:ascii="Arial" w:cs="Arial" w:eastAsia="Arial" w:hAnsi="Arial"/>
                <w:sz w:val="18"/>
                <w:szCs w:val="18"/>
                <w:color w:val="auto"/>
              </w:rPr>
              <w:t>Iovance Biotherapeutics, Inc.</w:t>
            </w:r>
          </w:p>
        </w:tc>
        <w:tc>
          <w:tcPr>
            <w:tcW w:w="4900" w:type="dxa"/>
            <w:vAlign w:val="bottom"/>
            <w:shd w:val="clear" w:color="auto" w:fill="E4EDF1"/>
          </w:tcPr>
          <w:p>
            <w:pPr>
              <w:ind w:left="740"/>
              <w:spacing w:after="0" w:line="202" w:lineRule="exact"/>
              <w:rPr>
                <w:sz w:val="20"/>
                <w:szCs w:val="20"/>
                <w:color w:val="auto"/>
              </w:rPr>
            </w:pPr>
            <w:r>
              <w:rPr>
                <w:rFonts w:ascii="Arial" w:cs="Arial" w:eastAsia="Arial" w:hAnsi="Arial"/>
                <w:sz w:val="18"/>
                <w:szCs w:val="18"/>
                <w:color w:val="auto"/>
              </w:rPr>
              <w:t>Viridian Therapeutics, Inc.</w:t>
            </w:r>
          </w:p>
        </w:tc>
      </w:tr>
    </w:tbl>
    <w:p>
      <w:pPr>
        <w:spacing w:after="0" w:line="300"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Elements of Compensation</w:t>
      </w:r>
    </w:p>
    <w:p>
      <w:pPr>
        <w:spacing w:after="0" w:line="123"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elements of the compensation program for our NEOs consist of: base salary; an annual cash (non-equity) incentive plan bonus; long-term equity awards; and, when determined necessary, limited perquisites. Our NEOs are entitled to severance benefits under our Change in Control and Severance Benefit Plan (see “Potential Payments Upon Termination or Change in Control” below).</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Annual Base Salary</w:t>
      </w:r>
    </w:p>
    <w:p>
      <w:pPr>
        <w:spacing w:after="0" w:line="106"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Base salaries for our NEOs are initially established through arm’s-length negotiation at the time the executive is hired, taking into account such executive’s qualifications, experience, prior salary, the scope of his or her responsibilities, and competitive market compensation paid by other companies for similar positions within the industry. Base salaries are reviewed annually, typically in connection with our annual performance review process, and adjusted from time to time to realign salaries with market levels of compensation paid by our peer companies and after taking into account individual responsibilities, performance and experience. In making decisions regarding salary increases, we draw upon the expertise of our independent compensation consultant, who provides comparative compensation data from similar sized companies in our industry. We also draw upon the experience of members of our Board of Directors with other companies.</w:t>
      </w:r>
    </w:p>
    <w:p>
      <w:pPr>
        <w:spacing w:after="0" w:line="180" w:lineRule="exact"/>
        <w:rPr>
          <w:sz w:val="20"/>
          <w:szCs w:val="20"/>
          <w:color w:val="auto"/>
        </w:rPr>
      </w:pPr>
    </w:p>
    <w:p>
      <w:pPr>
        <w:jc w:val="both"/>
        <w:ind w:left="300" w:right="319" w:firstLine="441"/>
        <w:spacing w:after="0" w:line="247" w:lineRule="auto"/>
        <w:rPr>
          <w:sz w:val="20"/>
          <w:szCs w:val="20"/>
          <w:color w:val="auto"/>
        </w:rPr>
      </w:pPr>
      <w:r>
        <w:rPr>
          <w:rFonts w:ascii="Arial" w:cs="Arial" w:eastAsia="Arial" w:hAnsi="Arial"/>
          <w:sz w:val="18"/>
          <w:szCs w:val="18"/>
          <w:color w:val="auto"/>
        </w:rPr>
        <w:t>The Compensation Committee has not previously applied specific formulas to determine increases, although it has generally awarded increases as a percentage of an executive officer’s then-current base salary. This strategy is consistent with our intent of offering base salaries that are cost-effective while remaining competitive.</w:t>
      </w:r>
    </w:p>
    <w:p>
      <w:pPr>
        <w:spacing w:after="0" w:line="174"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The 2025 annual base salaries for our NEOs are set forth in the table below. These increases reflect the Compensation Committee’s (and, in the case of Mr. Lowenthal, the Board’s) consideration of competitive market data for their respective roles, each individual’s performance and responsibilities, retention considerations, and the desire to position their base salaries appropriately relative to executives in similar positions at peer companies. In particular, the 2025 increases in base salary reflected the Compensation Committee’s adoption of a peer group that aligns with the Company’s anticipated transition to a commercial-stage enterprise. In connection with this shift, the Compensation Committee incorporated peers with larger scale and more advanced commercial operations, which contributed to upward adjustments in salary levels to remain competitive in attracting and retaining executive talent.</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440" w:type="dxa"/>
            <w:vAlign w:val="bottom"/>
            <w:shd w:val="clear" w:color="auto" w:fill="0B4B73"/>
          </w:tcPr>
          <w:p>
            <w:pPr>
              <w:spacing w:after="0"/>
              <w:rPr>
                <w:sz w:val="14"/>
                <w:szCs w:val="14"/>
                <w:color w:val="auto"/>
              </w:rPr>
            </w:pPr>
          </w:p>
        </w:tc>
        <w:tc>
          <w:tcPr>
            <w:tcW w:w="1820" w:type="dxa"/>
            <w:vAlign w:val="bottom"/>
            <w:shd w:val="clear" w:color="auto" w:fill="0B4B73"/>
          </w:tcPr>
          <w:p>
            <w:pPr>
              <w:jc w:val="right"/>
              <w:ind w:right="744"/>
              <w:spacing w:after="0"/>
              <w:rPr>
                <w:sz w:val="20"/>
                <w:szCs w:val="20"/>
                <w:color w:val="auto"/>
              </w:rPr>
            </w:pPr>
            <w:r>
              <w:rPr>
                <w:rFonts w:ascii="Arial" w:cs="Arial" w:eastAsia="Arial" w:hAnsi="Arial"/>
                <w:sz w:val="14"/>
                <w:szCs w:val="14"/>
                <w:b w:val="1"/>
                <w:bCs w:val="1"/>
                <w:color w:val="FFFFFF"/>
              </w:rPr>
              <w:t>2024</w:t>
            </w:r>
          </w:p>
        </w:tc>
        <w:tc>
          <w:tcPr>
            <w:tcW w:w="1720" w:type="dxa"/>
            <w:vAlign w:val="bottom"/>
            <w:shd w:val="clear" w:color="auto" w:fill="0B4B73"/>
          </w:tcPr>
          <w:p>
            <w:pPr>
              <w:jc w:val="right"/>
              <w:ind w:right="824"/>
              <w:spacing w:after="0"/>
              <w:rPr>
                <w:sz w:val="20"/>
                <w:szCs w:val="20"/>
                <w:color w:val="auto"/>
              </w:rPr>
            </w:pPr>
            <w:r>
              <w:rPr>
                <w:rFonts w:ascii="Arial" w:cs="Arial" w:eastAsia="Arial" w:hAnsi="Arial"/>
                <w:sz w:val="14"/>
                <w:szCs w:val="14"/>
                <w:b w:val="1"/>
                <w:bCs w:val="1"/>
                <w:color w:val="FFFFFF"/>
              </w:rPr>
              <w:t>2025</w:t>
            </w:r>
          </w:p>
        </w:tc>
        <w:tc>
          <w:tcPr>
            <w:tcW w:w="1440" w:type="dxa"/>
            <w:vAlign w:val="bottom"/>
            <w:shd w:val="clear" w:color="auto" w:fill="0B4B73"/>
          </w:tcPr>
          <w:p>
            <w:pPr>
              <w:jc w:val="center"/>
              <w:ind w:right="24"/>
              <w:spacing w:after="0"/>
              <w:rPr>
                <w:sz w:val="20"/>
                <w:szCs w:val="20"/>
                <w:color w:val="auto"/>
              </w:rPr>
            </w:pPr>
            <w:r>
              <w:rPr>
                <w:rFonts w:ascii="Arial" w:cs="Arial" w:eastAsia="Arial" w:hAnsi="Arial"/>
                <w:sz w:val="14"/>
                <w:szCs w:val="14"/>
                <w:b w:val="1"/>
                <w:bCs w:val="1"/>
                <w:color w:val="FFFFFF"/>
              </w:rPr>
              <w:t>Change</w:t>
            </w:r>
          </w:p>
        </w:tc>
      </w:tr>
      <w:tr>
        <w:trPr>
          <w:trHeight w:val="162"/>
        </w:trPr>
        <w:tc>
          <w:tcPr>
            <w:tcW w:w="3440" w:type="dxa"/>
            <w:vAlign w:val="bottom"/>
            <w:shd w:val="clear" w:color="auto" w:fill="0B4B73"/>
          </w:tcPr>
          <w:p>
            <w:pPr>
              <w:spacing w:after="0"/>
              <w:rPr>
                <w:sz w:val="14"/>
                <w:szCs w:val="14"/>
                <w:color w:val="auto"/>
              </w:rPr>
            </w:pPr>
          </w:p>
        </w:tc>
        <w:tc>
          <w:tcPr>
            <w:tcW w:w="1820" w:type="dxa"/>
            <w:vAlign w:val="bottom"/>
            <w:shd w:val="clear" w:color="auto" w:fill="0B4B73"/>
          </w:tcPr>
          <w:p>
            <w:pPr>
              <w:jc w:val="right"/>
              <w:ind w:right="504"/>
              <w:spacing w:after="0"/>
              <w:rPr>
                <w:sz w:val="20"/>
                <w:szCs w:val="20"/>
                <w:color w:val="auto"/>
              </w:rPr>
            </w:pPr>
            <w:r>
              <w:rPr>
                <w:rFonts w:ascii="Arial" w:cs="Arial" w:eastAsia="Arial" w:hAnsi="Arial"/>
                <w:sz w:val="14"/>
                <w:szCs w:val="14"/>
                <w:b w:val="1"/>
                <w:bCs w:val="1"/>
                <w:color w:val="FFFFFF"/>
              </w:rPr>
              <w:t>Base Salary</w:t>
            </w:r>
          </w:p>
        </w:tc>
        <w:tc>
          <w:tcPr>
            <w:tcW w:w="1720" w:type="dxa"/>
            <w:vAlign w:val="bottom"/>
            <w:shd w:val="clear" w:color="auto" w:fill="0B4B73"/>
          </w:tcPr>
          <w:p>
            <w:pPr>
              <w:jc w:val="right"/>
              <w:ind w:right="564"/>
              <w:spacing w:after="0"/>
              <w:rPr>
                <w:sz w:val="20"/>
                <w:szCs w:val="20"/>
                <w:color w:val="auto"/>
              </w:rPr>
            </w:pPr>
            <w:r>
              <w:rPr>
                <w:rFonts w:ascii="Arial" w:cs="Arial" w:eastAsia="Arial" w:hAnsi="Arial"/>
                <w:sz w:val="14"/>
                <w:szCs w:val="14"/>
                <w:b w:val="1"/>
                <w:bCs w:val="1"/>
                <w:color w:val="FFFFFF"/>
              </w:rPr>
              <w:t>Base Salary</w:t>
            </w:r>
          </w:p>
        </w:tc>
        <w:tc>
          <w:tcPr>
            <w:tcW w:w="1440" w:type="dxa"/>
            <w:vAlign w:val="bottom"/>
            <w:shd w:val="clear" w:color="auto" w:fill="0B4B73"/>
          </w:tcPr>
          <w:p>
            <w:pPr>
              <w:jc w:val="center"/>
              <w:ind w:right="4"/>
              <w:spacing w:after="0"/>
              <w:rPr>
                <w:sz w:val="20"/>
                <w:szCs w:val="20"/>
                <w:color w:val="auto"/>
              </w:rPr>
            </w:pPr>
            <w:r>
              <w:rPr>
                <w:rFonts w:ascii="Arial" w:cs="Arial" w:eastAsia="Arial" w:hAnsi="Arial"/>
                <w:sz w:val="14"/>
                <w:szCs w:val="14"/>
                <w:b w:val="1"/>
                <w:bCs w:val="1"/>
                <w:color w:val="FFFFFF"/>
              </w:rPr>
              <w:t>from 2024</w:t>
            </w:r>
          </w:p>
        </w:tc>
      </w:tr>
      <w:tr>
        <w:trPr>
          <w:trHeight w:val="182"/>
        </w:trPr>
        <w:tc>
          <w:tcPr>
            <w:tcW w:w="3440" w:type="dxa"/>
            <w:vAlign w:val="bottom"/>
            <w:tcBorders>
              <w:bottom w:val="single" w:sz="8" w:color="C3D041"/>
            </w:tcBorders>
            <w:shd w:val="clear" w:color="auto" w:fill="0B4B73"/>
          </w:tcPr>
          <w:p>
            <w:pPr>
              <w:ind w:left="1520"/>
              <w:spacing w:after="0"/>
              <w:rPr>
                <w:sz w:val="20"/>
                <w:szCs w:val="20"/>
                <w:color w:val="auto"/>
              </w:rPr>
            </w:pPr>
            <w:r>
              <w:rPr>
                <w:rFonts w:ascii="Arial" w:cs="Arial" w:eastAsia="Arial" w:hAnsi="Arial"/>
                <w:sz w:val="14"/>
                <w:szCs w:val="14"/>
                <w:b w:val="1"/>
                <w:bCs w:val="1"/>
                <w:color w:val="FFFFFF"/>
              </w:rPr>
              <w:t>Name</w:t>
            </w:r>
          </w:p>
        </w:tc>
        <w:tc>
          <w:tcPr>
            <w:tcW w:w="1820" w:type="dxa"/>
            <w:vAlign w:val="bottom"/>
            <w:tcBorders>
              <w:bottom w:val="single" w:sz="8" w:color="C3D041"/>
            </w:tcBorders>
            <w:shd w:val="clear" w:color="auto" w:fill="0B4B73"/>
          </w:tcPr>
          <w:p>
            <w:pPr>
              <w:jc w:val="right"/>
              <w:ind w:right="824"/>
              <w:spacing w:after="0"/>
              <w:rPr>
                <w:sz w:val="20"/>
                <w:szCs w:val="20"/>
                <w:color w:val="auto"/>
              </w:rPr>
            </w:pPr>
            <w:r>
              <w:rPr>
                <w:rFonts w:ascii="Arial" w:cs="Arial" w:eastAsia="Arial" w:hAnsi="Arial"/>
                <w:sz w:val="14"/>
                <w:szCs w:val="14"/>
                <w:b w:val="1"/>
                <w:bCs w:val="1"/>
                <w:color w:val="FFFFFF"/>
              </w:rPr>
              <w:t>($)</w:t>
            </w:r>
          </w:p>
        </w:tc>
        <w:tc>
          <w:tcPr>
            <w:tcW w:w="1720" w:type="dxa"/>
            <w:vAlign w:val="bottom"/>
            <w:tcBorders>
              <w:bottom w:val="single" w:sz="8" w:color="C3D041"/>
            </w:tcBorders>
            <w:shd w:val="clear" w:color="auto" w:fill="0B4B73"/>
          </w:tcPr>
          <w:p>
            <w:pPr>
              <w:jc w:val="right"/>
              <w:ind w:right="884"/>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bottom w:val="single" w:sz="8" w:color="C3D041"/>
            </w:tcBorders>
            <w:shd w:val="clear" w:color="auto" w:fill="0B4B73"/>
          </w:tcPr>
          <w:p>
            <w:pPr>
              <w:jc w:val="center"/>
              <w:ind w:right="24"/>
              <w:spacing w:after="0"/>
              <w:rPr>
                <w:sz w:val="20"/>
                <w:szCs w:val="20"/>
                <w:color w:val="auto"/>
              </w:rPr>
            </w:pPr>
            <w:r>
              <w:rPr>
                <w:rFonts w:ascii="Arial" w:cs="Arial" w:eastAsia="Arial" w:hAnsi="Arial"/>
                <w:sz w:val="14"/>
                <w:szCs w:val="14"/>
                <w:b w:val="1"/>
                <w:bCs w:val="1"/>
                <w:color w:val="FFFFFF"/>
              </w:rPr>
              <w:t>(%)</w:t>
            </w:r>
          </w:p>
        </w:tc>
      </w:tr>
      <w:tr>
        <w:trPr>
          <w:trHeight w:val="189"/>
        </w:trPr>
        <w:tc>
          <w:tcPr>
            <w:tcW w:w="3440" w:type="dxa"/>
            <w:vAlign w:val="bottom"/>
            <w:shd w:val="clear" w:color="auto" w:fill="E4EDF1"/>
          </w:tcPr>
          <w:p>
            <w:pPr>
              <w:spacing w:after="0"/>
              <w:rPr>
                <w:sz w:val="20"/>
                <w:szCs w:val="20"/>
                <w:color w:val="auto"/>
              </w:rPr>
            </w:pPr>
            <w:r>
              <w:rPr>
                <w:rFonts w:ascii="Arial" w:cs="Arial" w:eastAsia="Arial" w:hAnsi="Arial"/>
                <w:sz w:val="16"/>
                <w:szCs w:val="16"/>
                <w:color w:val="auto"/>
              </w:rPr>
              <w:t>Richard Lowenthal, M.S., MSEL</w:t>
            </w:r>
          </w:p>
        </w:tc>
        <w:tc>
          <w:tcPr>
            <w:tcW w:w="1820" w:type="dxa"/>
            <w:vAlign w:val="bottom"/>
            <w:shd w:val="clear" w:color="auto" w:fill="E4EDF1"/>
          </w:tcPr>
          <w:p>
            <w:pPr>
              <w:jc w:val="right"/>
              <w:ind w:right="204"/>
              <w:spacing w:after="0"/>
              <w:rPr>
                <w:sz w:val="20"/>
                <w:szCs w:val="20"/>
                <w:color w:val="auto"/>
              </w:rPr>
            </w:pPr>
            <w:r>
              <w:rPr>
                <w:rFonts w:ascii="Arial" w:cs="Arial" w:eastAsia="Arial" w:hAnsi="Arial"/>
                <w:sz w:val="16"/>
                <w:szCs w:val="16"/>
                <w:color w:val="auto"/>
              </w:rPr>
              <w:t>651,000</w:t>
            </w:r>
          </w:p>
        </w:tc>
        <w:tc>
          <w:tcPr>
            <w:tcW w:w="1720" w:type="dxa"/>
            <w:vAlign w:val="bottom"/>
            <w:shd w:val="clear" w:color="auto" w:fill="E4EDF1"/>
          </w:tcPr>
          <w:p>
            <w:pPr>
              <w:jc w:val="right"/>
              <w:ind w:right="264"/>
              <w:spacing w:after="0"/>
              <w:rPr>
                <w:sz w:val="20"/>
                <w:szCs w:val="20"/>
                <w:color w:val="auto"/>
              </w:rPr>
            </w:pPr>
            <w:r>
              <w:rPr>
                <w:rFonts w:ascii="Arial" w:cs="Arial" w:eastAsia="Arial" w:hAnsi="Arial"/>
                <w:sz w:val="16"/>
                <w:szCs w:val="16"/>
                <w:color w:val="auto"/>
              </w:rPr>
              <w:t>700,000</w:t>
            </w:r>
          </w:p>
        </w:tc>
        <w:tc>
          <w:tcPr>
            <w:tcW w:w="1440" w:type="dxa"/>
            <w:vAlign w:val="bottom"/>
            <w:shd w:val="clear" w:color="auto" w:fill="E4EDF1"/>
          </w:tcPr>
          <w:p>
            <w:pPr>
              <w:jc w:val="center"/>
              <w:ind w:right="24"/>
              <w:spacing w:after="0"/>
              <w:rPr>
                <w:sz w:val="20"/>
                <w:szCs w:val="20"/>
                <w:color w:val="auto"/>
              </w:rPr>
            </w:pPr>
            <w:r>
              <w:rPr>
                <w:rFonts w:ascii="Arial" w:cs="Arial" w:eastAsia="Arial" w:hAnsi="Arial"/>
                <w:sz w:val="16"/>
                <w:szCs w:val="16"/>
                <w:color w:val="auto"/>
              </w:rPr>
              <w:t>7.5%</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Sarina Tanimoto, M.D., M.B.A.</w:t>
            </w:r>
          </w:p>
        </w:tc>
        <w:tc>
          <w:tcPr>
            <w:tcW w:w="1820" w:type="dxa"/>
            <w:vAlign w:val="bottom"/>
          </w:tcPr>
          <w:p>
            <w:pPr>
              <w:jc w:val="right"/>
              <w:ind w:right="204"/>
              <w:spacing w:after="0"/>
              <w:rPr>
                <w:sz w:val="20"/>
                <w:szCs w:val="20"/>
                <w:color w:val="auto"/>
              </w:rPr>
            </w:pPr>
            <w:r>
              <w:rPr>
                <w:rFonts w:ascii="Arial" w:cs="Arial" w:eastAsia="Arial" w:hAnsi="Arial"/>
                <w:sz w:val="16"/>
                <w:szCs w:val="16"/>
                <w:color w:val="auto"/>
              </w:rPr>
              <w:t>501,698</w:t>
            </w:r>
          </w:p>
        </w:tc>
        <w:tc>
          <w:tcPr>
            <w:tcW w:w="1720" w:type="dxa"/>
            <w:vAlign w:val="bottom"/>
          </w:tcPr>
          <w:p>
            <w:pPr>
              <w:jc w:val="right"/>
              <w:ind w:right="264"/>
              <w:spacing w:after="0"/>
              <w:rPr>
                <w:sz w:val="20"/>
                <w:szCs w:val="20"/>
                <w:color w:val="auto"/>
              </w:rPr>
            </w:pPr>
            <w:r>
              <w:rPr>
                <w:rFonts w:ascii="Arial" w:cs="Arial" w:eastAsia="Arial" w:hAnsi="Arial"/>
                <w:sz w:val="16"/>
                <w:szCs w:val="16"/>
                <w:color w:val="auto"/>
              </w:rPr>
              <w:t>540,000</w:t>
            </w:r>
          </w:p>
        </w:tc>
        <w:tc>
          <w:tcPr>
            <w:tcW w:w="1440" w:type="dxa"/>
            <w:vAlign w:val="bottom"/>
          </w:tcPr>
          <w:p>
            <w:pPr>
              <w:jc w:val="center"/>
              <w:ind w:right="24"/>
              <w:spacing w:after="0"/>
              <w:rPr>
                <w:sz w:val="20"/>
                <w:szCs w:val="20"/>
                <w:color w:val="auto"/>
              </w:rPr>
            </w:pPr>
            <w:r>
              <w:rPr>
                <w:rFonts w:ascii="Arial" w:cs="Arial" w:eastAsia="Arial" w:hAnsi="Arial"/>
                <w:sz w:val="16"/>
                <w:szCs w:val="16"/>
                <w:color w:val="auto"/>
              </w:rPr>
              <w:t>7.6%</w:t>
            </w:r>
          </w:p>
        </w:tc>
      </w:tr>
      <w:tr>
        <w:trPr>
          <w:trHeight w:val="189"/>
        </w:trPr>
        <w:tc>
          <w:tcPr>
            <w:tcW w:w="3440" w:type="dxa"/>
            <w:vAlign w:val="bottom"/>
            <w:shd w:val="clear" w:color="auto" w:fill="E4EDF1"/>
          </w:tcPr>
          <w:p>
            <w:pPr>
              <w:spacing w:after="0"/>
              <w:rPr>
                <w:sz w:val="20"/>
                <w:szCs w:val="20"/>
                <w:color w:val="auto"/>
              </w:rPr>
            </w:pPr>
            <w:r>
              <w:rPr>
                <w:rFonts w:ascii="Arial" w:cs="Arial" w:eastAsia="Arial" w:hAnsi="Arial"/>
                <w:sz w:val="16"/>
                <w:szCs w:val="16"/>
                <w:color w:val="auto"/>
              </w:rPr>
              <w:t>Justin Chakma</w:t>
            </w:r>
          </w:p>
        </w:tc>
        <w:tc>
          <w:tcPr>
            <w:tcW w:w="1820" w:type="dxa"/>
            <w:vAlign w:val="bottom"/>
            <w:shd w:val="clear" w:color="auto" w:fill="E4EDF1"/>
          </w:tcPr>
          <w:p>
            <w:pPr>
              <w:jc w:val="right"/>
              <w:ind w:right="204"/>
              <w:spacing w:after="0"/>
              <w:rPr>
                <w:sz w:val="20"/>
                <w:szCs w:val="20"/>
                <w:color w:val="auto"/>
              </w:rPr>
            </w:pPr>
            <w:r>
              <w:rPr>
                <w:rFonts w:ascii="Arial" w:cs="Arial" w:eastAsia="Arial" w:hAnsi="Arial"/>
                <w:sz w:val="16"/>
                <w:szCs w:val="16"/>
                <w:color w:val="auto"/>
              </w:rPr>
              <w:t>428,000</w:t>
            </w:r>
          </w:p>
        </w:tc>
        <w:tc>
          <w:tcPr>
            <w:tcW w:w="1720" w:type="dxa"/>
            <w:vAlign w:val="bottom"/>
            <w:shd w:val="clear" w:color="auto" w:fill="E4EDF1"/>
          </w:tcPr>
          <w:p>
            <w:pPr>
              <w:jc w:val="right"/>
              <w:ind w:right="264"/>
              <w:spacing w:after="0"/>
              <w:rPr>
                <w:sz w:val="20"/>
                <w:szCs w:val="20"/>
                <w:color w:val="auto"/>
              </w:rPr>
            </w:pPr>
            <w:r>
              <w:rPr>
                <w:rFonts w:ascii="Arial" w:cs="Arial" w:eastAsia="Arial" w:hAnsi="Arial"/>
                <w:sz w:val="16"/>
                <w:szCs w:val="16"/>
                <w:color w:val="auto"/>
              </w:rPr>
              <w:t>497,000</w:t>
            </w:r>
          </w:p>
        </w:tc>
        <w:tc>
          <w:tcPr>
            <w:tcW w:w="1440" w:type="dxa"/>
            <w:vAlign w:val="bottom"/>
            <w:shd w:val="clear" w:color="auto" w:fill="E4EDF1"/>
          </w:tcPr>
          <w:p>
            <w:pPr>
              <w:jc w:val="center"/>
              <w:ind w:right="24"/>
              <w:spacing w:after="0"/>
              <w:rPr>
                <w:sz w:val="20"/>
                <w:szCs w:val="20"/>
                <w:color w:val="auto"/>
              </w:rPr>
            </w:pPr>
            <w:r>
              <w:rPr>
                <w:rFonts w:ascii="Arial" w:cs="Arial" w:eastAsia="Arial" w:hAnsi="Arial"/>
                <w:sz w:val="16"/>
                <w:szCs w:val="16"/>
                <w:color w:val="auto"/>
              </w:rPr>
              <w:t>16.1%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47" w:name="page48"/>
    <w:bookmarkEnd w:id="47"/>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Annual Performance-Based Bonus Opportunity</w:t>
      </w:r>
    </w:p>
    <w:p>
      <w:pPr>
        <w:spacing w:after="0" w:line="106"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We seek to motivate and reward our executives for achievements relative to our corporate goals and expectations for each fiscal year. In 2025, each of our NEOs was eligible to receive an annual performance bonus based on the achievement of performance goals as determined by our Board and Compensation Committee. Each NEO has a target bonus represented as a percentage of base salary (a “target bonus percentage”) each of which is set forth below. The Compensation Committee did not recommend an adjustment to the annual incentive target bonus percentage for any of the NEOs for 2025, as they determined the current amounts to be market competitive.</w:t>
      </w:r>
    </w:p>
    <w:p>
      <w:pPr>
        <w:spacing w:after="0" w:line="185"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In 2024, our Board (with respect to Mr. Lowenthal) and our Compensation Committee (with respect to Dr. Tanimoto and Mr. Chakma) approved the following target bonus percentages for the 2025 fiscal year:</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660" w:type="dxa"/>
            <w:vAlign w:val="bottom"/>
            <w:shd w:val="clear" w:color="auto" w:fill="0B4B73"/>
          </w:tcPr>
          <w:p>
            <w:pPr>
              <w:spacing w:after="0"/>
              <w:rPr>
                <w:sz w:val="14"/>
                <w:szCs w:val="14"/>
                <w:color w:val="auto"/>
              </w:rPr>
            </w:pPr>
          </w:p>
        </w:tc>
        <w:tc>
          <w:tcPr>
            <w:tcW w:w="2760" w:type="dxa"/>
            <w:vAlign w:val="bottom"/>
            <w:shd w:val="clear" w:color="auto" w:fill="0B4B73"/>
          </w:tcPr>
          <w:p>
            <w:pPr>
              <w:jc w:val="center"/>
              <w:ind w:left="184"/>
              <w:spacing w:after="0"/>
              <w:rPr>
                <w:sz w:val="20"/>
                <w:szCs w:val="20"/>
                <w:color w:val="auto"/>
              </w:rPr>
            </w:pPr>
            <w:r>
              <w:rPr>
                <w:rFonts w:ascii="Arial" w:cs="Arial" w:eastAsia="Arial" w:hAnsi="Arial"/>
                <w:sz w:val="14"/>
                <w:szCs w:val="14"/>
                <w:b w:val="1"/>
                <w:bCs w:val="1"/>
                <w:color w:val="FFFFFF"/>
              </w:rPr>
              <w:t>Target Bonus</w:t>
            </w:r>
          </w:p>
        </w:tc>
      </w:tr>
      <w:tr>
        <w:trPr>
          <w:trHeight w:val="162"/>
        </w:trPr>
        <w:tc>
          <w:tcPr>
            <w:tcW w:w="5660" w:type="dxa"/>
            <w:vAlign w:val="bottom"/>
            <w:shd w:val="clear" w:color="auto" w:fill="0B4B73"/>
          </w:tcPr>
          <w:p>
            <w:pPr>
              <w:spacing w:after="0"/>
              <w:rPr>
                <w:sz w:val="14"/>
                <w:szCs w:val="14"/>
                <w:color w:val="auto"/>
              </w:rPr>
            </w:pPr>
          </w:p>
        </w:tc>
        <w:tc>
          <w:tcPr>
            <w:tcW w:w="2760" w:type="dxa"/>
            <w:vAlign w:val="bottom"/>
            <w:shd w:val="clear" w:color="auto" w:fill="0B4B73"/>
          </w:tcPr>
          <w:p>
            <w:pPr>
              <w:jc w:val="center"/>
              <w:ind w:left="184"/>
              <w:spacing w:after="0"/>
              <w:rPr>
                <w:sz w:val="20"/>
                <w:szCs w:val="20"/>
                <w:color w:val="auto"/>
              </w:rPr>
            </w:pPr>
            <w:r>
              <w:rPr>
                <w:rFonts w:ascii="Arial" w:cs="Arial" w:eastAsia="Arial" w:hAnsi="Arial"/>
                <w:sz w:val="14"/>
                <w:szCs w:val="14"/>
                <w:b w:val="1"/>
                <w:bCs w:val="1"/>
                <w:color w:val="FFFFFF"/>
              </w:rPr>
              <w:t>as a % of</w:t>
            </w:r>
          </w:p>
        </w:tc>
      </w:tr>
      <w:tr>
        <w:trPr>
          <w:trHeight w:val="153"/>
        </w:trPr>
        <w:tc>
          <w:tcPr>
            <w:tcW w:w="5660" w:type="dxa"/>
            <w:vAlign w:val="bottom"/>
            <w:shd w:val="clear" w:color="auto" w:fill="0B4B73"/>
          </w:tcPr>
          <w:p>
            <w:pPr>
              <w:spacing w:after="0"/>
              <w:rPr>
                <w:sz w:val="13"/>
                <w:szCs w:val="13"/>
                <w:color w:val="auto"/>
              </w:rPr>
            </w:pPr>
          </w:p>
        </w:tc>
        <w:tc>
          <w:tcPr>
            <w:tcW w:w="2760" w:type="dxa"/>
            <w:vAlign w:val="bottom"/>
            <w:shd w:val="clear" w:color="auto" w:fill="0B4B73"/>
          </w:tcPr>
          <w:p>
            <w:pPr>
              <w:jc w:val="center"/>
              <w:ind w:left="184"/>
              <w:spacing w:after="0" w:line="153" w:lineRule="exact"/>
              <w:rPr>
                <w:sz w:val="20"/>
                <w:szCs w:val="20"/>
                <w:color w:val="auto"/>
              </w:rPr>
            </w:pPr>
            <w:r>
              <w:rPr>
                <w:rFonts w:ascii="Arial" w:cs="Arial" w:eastAsia="Arial" w:hAnsi="Arial"/>
                <w:sz w:val="14"/>
                <w:szCs w:val="14"/>
                <w:b w:val="1"/>
                <w:bCs w:val="1"/>
                <w:color w:val="FFFFFF"/>
              </w:rPr>
              <w:t>Base Salary</w:t>
            </w:r>
          </w:p>
        </w:tc>
      </w:tr>
      <w:tr>
        <w:trPr>
          <w:trHeight w:val="192"/>
        </w:trPr>
        <w:tc>
          <w:tcPr>
            <w:tcW w:w="5660" w:type="dxa"/>
            <w:vAlign w:val="bottom"/>
            <w:tcBorders>
              <w:bottom w:val="single" w:sz="8" w:color="C3D041"/>
            </w:tcBorders>
            <w:shd w:val="clear" w:color="auto" w:fill="0B4B73"/>
          </w:tcPr>
          <w:p>
            <w:pPr>
              <w:ind w:left="2620"/>
              <w:spacing w:after="0"/>
              <w:rPr>
                <w:sz w:val="20"/>
                <w:szCs w:val="20"/>
                <w:color w:val="auto"/>
              </w:rPr>
            </w:pPr>
            <w:r>
              <w:rPr>
                <w:rFonts w:ascii="Arial" w:cs="Arial" w:eastAsia="Arial" w:hAnsi="Arial"/>
                <w:sz w:val="14"/>
                <w:szCs w:val="14"/>
                <w:b w:val="1"/>
                <w:bCs w:val="1"/>
                <w:color w:val="FFFFFF"/>
              </w:rPr>
              <w:t>Name</w:t>
            </w:r>
          </w:p>
        </w:tc>
        <w:tc>
          <w:tcPr>
            <w:tcW w:w="2760" w:type="dxa"/>
            <w:vAlign w:val="bottom"/>
            <w:tcBorders>
              <w:bottom w:val="single" w:sz="8" w:color="C3D041"/>
            </w:tcBorders>
            <w:shd w:val="clear" w:color="auto" w:fill="0B4B73"/>
          </w:tcPr>
          <w:p>
            <w:pPr>
              <w:jc w:val="center"/>
              <w:ind w:left="184"/>
              <w:spacing w:after="0"/>
              <w:rPr>
                <w:sz w:val="20"/>
                <w:szCs w:val="20"/>
                <w:color w:val="auto"/>
              </w:rPr>
            </w:pPr>
            <w:r>
              <w:rPr>
                <w:rFonts w:ascii="Arial" w:cs="Arial" w:eastAsia="Arial" w:hAnsi="Arial"/>
                <w:sz w:val="14"/>
                <w:szCs w:val="14"/>
                <w:b w:val="1"/>
                <w:bCs w:val="1"/>
                <w:color w:val="FFFFFF"/>
              </w:rPr>
              <w:t>(%)</w:t>
            </w:r>
          </w:p>
        </w:tc>
      </w:tr>
      <w:tr>
        <w:trPr>
          <w:trHeight w:val="189"/>
        </w:trPr>
        <w:tc>
          <w:tcPr>
            <w:tcW w:w="5660" w:type="dxa"/>
            <w:vAlign w:val="bottom"/>
            <w:shd w:val="clear" w:color="auto" w:fill="E4EDF1"/>
          </w:tcPr>
          <w:p>
            <w:pPr>
              <w:spacing w:after="0"/>
              <w:rPr>
                <w:sz w:val="20"/>
                <w:szCs w:val="20"/>
                <w:color w:val="auto"/>
              </w:rPr>
            </w:pPr>
            <w:r>
              <w:rPr>
                <w:rFonts w:ascii="Arial" w:cs="Arial" w:eastAsia="Arial" w:hAnsi="Arial"/>
                <w:sz w:val="16"/>
                <w:szCs w:val="16"/>
                <w:color w:val="auto"/>
              </w:rPr>
              <w:t>Richard Lowenthal, M.S., MSEL</w:t>
            </w:r>
          </w:p>
        </w:tc>
        <w:tc>
          <w:tcPr>
            <w:tcW w:w="2760" w:type="dxa"/>
            <w:vAlign w:val="bottom"/>
            <w:shd w:val="clear" w:color="auto" w:fill="E4EDF1"/>
          </w:tcPr>
          <w:p>
            <w:pPr>
              <w:jc w:val="center"/>
              <w:ind w:left="164"/>
              <w:spacing w:after="0"/>
              <w:rPr>
                <w:sz w:val="20"/>
                <w:szCs w:val="20"/>
                <w:color w:val="auto"/>
              </w:rPr>
            </w:pPr>
            <w:r>
              <w:rPr>
                <w:rFonts w:ascii="Arial" w:cs="Arial" w:eastAsia="Arial" w:hAnsi="Arial"/>
                <w:sz w:val="16"/>
                <w:szCs w:val="16"/>
                <w:color w:val="auto"/>
                <w:w w:val="99"/>
              </w:rPr>
              <w:t>60%</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Sarina Tanimoto, M.D., M.B.A.</w:t>
            </w:r>
          </w:p>
        </w:tc>
        <w:tc>
          <w:tcPr>
            <w:tcW w:w="2760" w:type="dxa"/>
            <w:vAlign w:val="bottom"/>
          </w:tcPr>
          <w:p>
            <w:pPr>
              <w:jc w:val="center"/>
              <w:ind w:left="164"/>
              <w:spacing w:after="0"/>
              <w:rPr>
                <w:sz w:val="20"/>
                <w:szCs w:val="20"/>
                <w:color w:val="auto"/>
              </w:rPr>
            </w:pPr>
            <w:r>
              <w:rPr>
                <w:rFonts w:ascii="Arial" w:cs="Arial" w:eastAsia="Arial" w:hAnsi="Arial"/>
                <w:sz w:val="16"/>
                <w:szCs w:val="16"/>
                <w:color w:val="auto"/>
                <w:w w:val="99"/>
              </w:rPr>
              <w:t>40%</w:t>
            </w:r>
          </w:p>
        </w:tc>
      </w:tr>
      <w:tr>
        <w:trPr>
          <w:trHeight w:val="189"/>
        </w:trPr>
        <w:tc>
          <w:tcPr>
            <w:tcW w:w="5660" w:type="dxa"/>
            <w:vAlign w:val="bottom"/>
            <w:shd w:val="clear" w:color="auto" w:fill="E4EDF1"/>
          </w:tcPr>
          <w:p>
            <w:pPr>
              <w:spacing w:after="0"/>
              <w:rPr>
                <w:sz w:val="20"/>
                <w:szCs w:val="20"/>
                <w:color w:val="auto"/>
              </w:rPr>
            </w:pPr>
            <w:r>
              <w:rPr>
                <w:rFonts w:ascii="Arial" w:cs="Arial" w:eastAsia="Arial" w:hAnsi="Arial"/>
                <w:sz w:val="16"/>
                <w:szCs w:val="16"/>
                <w:color w:val="auto"/>
              </w:rPr>
              <w:t>Justin Chakma</w:t>
            </w:r>
          </w:p>
        </w:tc>
        <w:tc>
          <w:tcPr>
            <w:tcW w:w="2760" w:type="dxa"/>
            <w:vAlign w:val="bottom"/>
            <w:shd w:val="clear" w:color="auto" w:fill="E4EDF1"/>
          </w:tcPr>
          <w:p>
            <w:pPr>
              <w:jc w:val="center"/>
              <w:ind w:left="164"/>
              <w:spacing w:after="0"/>
              <w:rPr>
                <w:sz w:val="20"/>
                <w:szCs w:val="20"/>
                <w:color w:val="auto"/>
              </w:rPr>
            </w:pPr>
            <w:r>
              <w:rPr>
                <w:rFonts w:ascii="Arial" w:cs="Arial" w:eastAsia="Arial" w:hAnsi="Arial"/>
                <w:sz w:val="16"/>
                <w:szCs w:val="16"/>
                <w:color w:val="auto"/>
                <w:w w:val="99"/>
              </w:rPr>
              <w:t>40%</w:t>
            </w:r>
          </w:p>
        </w:tc>
      </w:tr>
    </w:tbl>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B4B73"/>
        </w:rPr>
        <w:t>Company Performance Measures</w:t>
      </w:r>
    </w:p>
    <w:p>
      <w:pPr>
        <w:spacing w:after="0" w:line="102"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For 2025, the Compensation Committee structured the annual bonus program based on corporate priorities that reflected the Company’s most critical objectives, including regulatory and clinical milestones, market access progress, commercial execution, and financial performance. The Compensation Committee formulated the 2025 corporate goals after obtaining input from our Chief Executive Officer regarding the annual operating plan, targeted research and development advancements and related risks. Based on this information, the Compensation Committee recommended performance-based metrics and performance targets for the bonus plan based on goals that it considered rigorous and challenging and that considered the relevant risks and opportunities. The 2025 corporate goals were weighted based on the importance to the business and value they provide to stockholders.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2025 corporate goals were based on the following:</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06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Goal Category</w:t>
            </w:r>
          </w:p>
        </w:tc>
        <w:tc>
          <w:tcPr>
            <w:tcW w:w="6360" w:type="dxa"/>
            <w:vAlign w:val="bottom"/>
            <w:tcBorders>
              <w:bottom w:val="single" w:sz="8" w:color="C3D041"/>
            </w:tcBorders>
            <w:shd w:val="clear" w:color="auto" w:fill="0B4B73"/>
          </w:tcPr>
          <w:p>
            <w:pPr>
              <w:ind w:left="2520"/>
              <w:spacing w:after="0"/>
              <w:rPr>
                <w:sz w:val="20"/>
                <w:szCs w:val="20"/>
                <w:color w:val="auto"/>
              </w:rPr>
            </w:pPr>
            <w:r>
              <w:rPr>
                <w:rFonts w:ascii="Arial" w:cs="Arial" w:eastAsia="Arial" w:hAnsi="Arial"/>
                <w:sz w:val="14"/>
                <w:szCs w:val="14"/>
                <w:b w:val="1"/>
                <w:bCs w:val="1"/>
                <w:color w:val="FFFFFF"/>
              </w:rPr>
              <w:t>General Description</w:t>
            </w:r>
          </w:p>
        </w:tc>
      </w:tr>
      <w:tr>
        <w:trPr>
          <w:trHeight w:val="175"/>
        </w:trPr>
        <w:tc>
          <w:tcPr>
            <w:tcW w:w="2060" w:type="dxa"/>
            <w:vAlign w:val="bottom"/>
            <w:shd w:val="clear" w:color="auto" w:fill="E4EDF1"/>
          </w:tcPr>
          <w:p>
            <w:pPr>
              <w:jc w:val="center"/>
              <w:spacing w:after="0" w:line="175" w:lineRule="exact"/>
              <w:rPr>
                <w:sz w:val="20"/>
                <w:szCs w:val="20"/>
                <w:color w:val="auto"/>
              </w:rPr>
            </w:pPr>
            <w:r>
              <w:rPr>
                <w:rFonts w:ascii="Arial" w:cs="Arial" w:eastAsia="Arial" w:hAnsi="Arial"/>
                <w:sz w:val="16"/>
                <w:szCs w:val="16"/>
                <w:color w:val="auto"/>
              </w:rPr>
              <w:t>Regulatory &amp; Clinical</w:t>
            </w:r>
          </w:p>
        </w:tc>
        <w:tc>
          <w:tcPr>
            <w:tcW w:w="6360" w:type="dxa"/>
            <w:vAlign w:val="bottom"/>
            <w:shd w:val="clear" w:color="auto" w:fill="E4EDF1"/>
          </w:tcPr>
          <w:p>
            <w:pPr>
              <w:ind w:left="100"/>
              <w:spacing w:after="0" w:line="175" w:lineRule="exact"/>
              <w:rPr>
                <w:sz w:val="20"/>
                <w:szCs w:val="20"/>
                <w:color w:val="auto"/>
              </w:rPr>
            </w:pPr>
            <w:r>
              <w:rPr>
                <w:rFonts w:ascii="Arial" w:cs="Arial" w:eastAsia="Arial" w:hAnsi="Arial"/>
                <w:sz w:val="16"/>
                <w:szCs w:val="16"/>
                <w:color w:val="auto"/>
              </w:rPr>
              <w:t>Progress on key regulatory submissions and approvals (U.S., EU, other key markets)</w:t>
            </w:r>
          </w:p>
        </w:tc>
      </w:tr>
      <w:tr>
        <w:trPr>
          <w:trHeight w:val="203"/>
        </w:trPr>
        <w:tc>
          <w:tcPr>
            <w:tcW w:w="2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Milestones</w:t>
            </w:r>
          </w:p>
        </w:tc>
        <w:tc>
          <w:tcPr>
            <w:tcW w:w="6360" w:type="dxa"/>
            <w:vAlign w:val="bottom"/>
            <w:shd w:val="clear" w:color="auto" w:fill="E4EDF1"/>
          </w:tcPr>
          <w:p>
            <w:pPr>
              <w:ind w:left="100"/>
              <w:spacing w:after="0"/>
              <w:rPr>
                <w:sz w:val="20"/>
                <w:szCs w:val="20"/>
                <w:color w:val="auto"/>
              </w:rPr>
            </w:pPr>
            <w:r>
              <w:rPr>
                <w:rFonts w:ascii="Arial" w:cs="Arial" w:eastAsia="Arial" w:hAnsi="Arial"/>
                <w:sz w:val="16"/>
                <w:szCs w:val="16"/>
                <w:color w:val="auto"/>
              </w:rPr>
              <w:t>and advancement of clinical programs.</w:t>
            </w:r>
          </w:p>
        </w:tc>
      </w:tr>
      <w:tr>
        <w:trPr>
          <w:trHeight w:val="175"/>
        </w:trPr>
        <w:tc>
          <w:tcPr>
            <w:tcW w:w="2060" w:type="dxa"/>
            <w:vAlign w:val="bottom"/>
          </w:tcPr>
          <w:p>
            <w:pPr>
              <w:jc w:val="center"/>
              <w:spacing w:after="0" w:line="175" w:lineRule="exact"/>
              <w:rPr>
                <w:sz w:val="20"/>
                <w:szCs w:val="20"/>
                <w:color w:val="auto"/>
              </w:rPr>
            </w:pPr>
            <w:r>
              <w:rPr>
                <w:rFonts w:ascii="Arial" w:cs="Arial" w:eastAsia="Arial" w:hAnsi="Arial"/>
                <w:sz w:val="16"/>
                <w:szCs w:val="16"/>
                <w:color w:val="auto"/>
              </w:rPr>
              <w:t>Market Access Expansion</w:t>
            </w:r>
          </w:p>
        </w:tc>
        <w:tc>
          <w:tcPr>
            <w:tcW w:w="6360" w:type="dxa"/>
            <w:vAlign w:val="bottom"/>
          </w:tcPr>
          <w:p>
            <w:pPr>
              <w:ind w:left="100"/>
              <w:spacing w:after="0" w:line="175" w:lineRule="exact"/>
              <w:rPr>
                <w:sz w:val="20"/>
                <w:szCs w:val="20"/>
                <w:color w:val="auto"/>
              </w:rPr>
            </w:pPr>
            <w:r>
              <w:rPr>
                <w:rFonts w:ascii="Arial" w:cs="Arial" w:eastAsia="Arial" w:hAnsi="Arial"/>
                <w:sz w:val="16"/>
                <w:szCs w:val="16"/>
                <w:color w:val="auto"/>
              </w:rPr>
              <w:t>Progress in payer coverage and access initiatives supporting broader patient</w:t>
            </w:r>
          </w:p>
        </w:tc>
      </w:tr>
      <w:tr>
        <w:trPr>
          <w:trHeight w:val="203"/>
        </w:trPr>
        <w:tc>
          <w:tcPr>
            <w:tcW w:w="206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availability.</w:t>
            </w:r>
          </w:p>
        </w:tc>
      </w:tr>
      <w:tr>
        <w:trPr>
          <w:trHeight w:val="175"/>
        </w:trPr>
        <w:tc>
          <w:tcPr>
            <w:tcW w:w="2060" w:type="dxa"/>
            <w:vAlign w:val="bottom"/>
            <w:shd w:val="clear" w:color="auto" w:fill="E4EDF1"/>
          </w:tcPr>
          <w:p>
            <w:pPr>
              <w:jc w:val="center"/>
              <w:spacing w:after="0" w:line="175" w:lineRule="exact"/>
              <w:rPr>
                <w:sz w:val="20"/>
                <w:szCs w:val="20"/>
                <w:color w:val="auto"/>
              </w:rPr>
            </w:pPr>
            <w:r>
              <w:rPr>
                <w:rFonts w:ascii="Arial" w:cs="Arial" w:eastAsia="Arial" w:hAnsi="Arial"/>
                <w:sz w:val="16"/>
                <w:szCs w:val="16"/>
                <w:color w:val="auto"/>
              </w:rPr>
              <w:t>Commercial Launch &amp;</w:t>
            </w:r>
          </w:p>
        </w:tc>
        <w:tc>
          <w:tcPr>
            <w:tcW w:w="6360" w:type="dxa"/>
            <w:vAlign w:val="bottom"/>
            <w:shd w:val="clear" w:color="auto" w:fill="E4EDF1"/>
          </w:tcPr>
          <w:p>
            <w:pPr>
              <w:ind w:left="100"/>
              <w:spacing w:after="0" w:line="175" w:lineRule="exact"/>
              <w:rPr>
                <w:sz w:val="20"/>
                <w:szCs w:val="20"/>
                <w:color w:val="auto"/>
              </w:rPr>
            </w:pPr>
            <w:r>
              <w:rPr>
                <w:rFonts w:ascii="Arial" w:cs="Arial" w:eastAsia="Arial" w:hAnsi="Arial"/>
                <w:sz w:val="16"/>
                <w:szCs w:val="16"/>
                <w:color w:val="auto"/>
              </w:rPr>
              <w:t>Execution of commercial launch activities and promotional initiatives supporting</w:t>
            </w:r>
          </w:p>
        </w:tc>
      </w:tr>
      <w:tr>
        <w:trPr>
          <w:trHeight w:val="203"/>
        </w:trPr>
        <w:tc>
          <w:tcPr>
            <w:tcW w:w="2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Promotion</w:t>
            </w:r>
          </w:p>
        </w:tc>
        <w:tc>
          <w:tcPr>
            <w:tcW w:w="6360" w:type="dxa"/>
            <w:vAlign w:val="bottom"/>
            <w:shd w:val="clear" w:color="auto" w:fill="E4EDF1"/>
          </w:tcPr>
          <w:p>
            <w:pPr>
              <w:ind w:left="100"/>
              <w:spacing w:after="0"/>
              <w:rPr>
                <w:sz w:val="20"/>
                <w:szCs w:val="20"/>
                <w:color w:val="auto"/>
              </w:rPr>
            </w:pPr>
            <w:r>
              <w:rPr>
                <w:rFonts w:ascii="Arial" w:cs="Arial" w:eastAsia="Arial" w:hAnsi="Arial"/>
                <w:sz w:val="16"/>
                <w:szCs w:val="16"/>
                <w:color w:val="auto"/>
              </w:rPr>
              <w:t>awareness and uptake.</w:t>
            </w:r>
          </w:p>
        </w:tc>
      </w:tr>
      <w:tr>
        <w:trPr>
          <w:trHeight w:val="175"/>
        </w:trPr>
        <w:tc>
          <w:tcPr>
            <w:tcW w:w="2060" w:type="dxa"/>
            <w:vAlign w:val="bottom"/>
          </w:tcPr>
          <w:p>
            <w:pPr>
              <w:jc w:val="center"/>
              <w:spacing w:after="0" w:line="175" w:lineRule="exact"/>
              <w:rPr>
                <w:sz w:val="20"/>
                <w:szCs w:val="20"/>
                <w:color w:val="auto"/>
              </w:rPr>
            </w:pPr>
            <w:r>
              <w:rPr>
                <w:rFonts w:ascii="Arial" w:cs="Arial" w:eastAsia="Arial" w:hAnsi="Arial"/>
                <w:sz w:val="16"/>
                <w:szCs w:val="16"/>
                <w:color w:val="auto"/>
              </w:rPr>
              <w:t>Financial &amp; Operational</w:t>
            </w:r>
          </w:p>
        </w:tc>
        <w:tc>
          <w:tcPr>
            <w:tcW w:w="6360" w:type="dxa"/>
            <w:vAlign w:val="bottom"/>
          </w:tcPr>
          <w:p>
            <w:pPr>
              <w:ind w:left="100"/>
              <w:spacing w:after="0" w:line="175" w:lineRule="exact"/>
              <w:rPr>
                <w:sz w:val="20"/>
                <w:szCs w:val="20"/>
                <w:color w:val="auto"/>
              </w:rPr>
            </w:pPr>
            <w:r>
              <w:rPr>
                <w:rFonts w:ascii="Arial" w:cs="Arial" w:eastAsia="Arial" w:hAnsi="Arial"/>
                <w:sz w:val="16"/>
                <w:szCs w:val="16"/>
                <w:color w:val="auto"/>
              </w:rPr>
              <w:t>Performance against internal financial goals supporting company growth.</w:t>
            </w:r>
          </w:p>
        </w:tc>
      </w:tr>
      <w:tr>
        <w:trPr>
          <w:trHeight w:val="215"/>
        </w:trPr>
        <w:tc>
          <w:tcPr>
            <w:tcW w:w="2060" w:type="dxa"/>
            <w:vAlign w:val="bottom"/>
          </w:tcPr>
          <w:p>
            <w:pPr>
              <w:jc w:val="center"/>
              <w:spacing w:after="0"/>
              <w:rPr>
                <w:sz w:val="20"/>
                <w:szCs w:val="20"/>
                <w:color w:val="auto"/>
              </w:rPr>
            </w:pPr>
            <w:r>
              <w:rPr>
                <w:rFonts w:ascii="Arial" w:cs="Arial" w:eastAsia="Arial" w:hAnsi="Arial"/>
                <w:sz w:val="16"/>
                <w:szCs w:val="16"/>
                <w:color w:val="auto"/>
              </w:rPr>
              <w:t>Performance</w:t>
            </w:r>
          </w:p>
        </w:tc>
        <w:tc>
          <w:tcPr>
            <w:tcW w:w="6360" w:type="dxa"/>
            <w:vAlign w:val="bottom"/>
          </w:tcPr>
          <w:p>
            <w:pPr>
              <w:spacing w:after="0"/>
              <w:rPr>
                <w:sz w:val="18"/>
                <w:szCs w:val="18"/>
                <w:color w:val="auto"/>
              </w:rPr>
            </w:pPr>
          </w:p>
        </w:tc>
      </w:tr>
    </w:tbl>
    <w:p>
      <w:pPr>
        <w:spacing w:after="0" w:line="186"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At the end of the year, the Compensation Committee and our Board reviewed the Company’s performance against the pre-established 2025 corporate goals, in determining the extent to which the corporate objectives were achieved. After considering management’s input and conducting its own independent evaluation, the Compensation Committee determined that the Company’s 2025 corporate goals were achieved at 75% of target, and the Board approved this determination.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B4B73"/>
        </w:rPr>
        <w:t>Individual Performance Measures</w:t>
      </w:r>
    </w:p>
    <w:p>
      <w:pPr>
        <w:spacing w:after="0" w:line="102"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The Compensation Committee evaluated the individual performance of Dr. Tanimoto and Mr. Chakma, for whom personal goals represented 30% of the annual bonus opportunity. In assessing individual performance, the Compensation Committee considered their contributions to advancing the Company’s 2025 priorities and supporting key strategic and operational initiatives. Based on this review, the Compensation Committee determined that both NEOs achieved 100% of their individual performance goals.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ind w:left="300" w:right="299" w:firstLine="441"/>
        <w:spacing w:after="0" w:line="271" w:lineRule="auto"/>
        <w:rPr>
          <w:sz w:val="20"/>
          <w:szCs w:val="20"/>
          <w:color w:val="auto"/>
        </w:rPr>
      </w:pPr>
      <w:r>
        <w:rPr>
          <w:rFonts w:ascii="Arial" w:cs="Arial" w:eastAsia="Arial" w:hAnsi="Arial"/>
          <w:sz w:val="18"/>
          <w:szCs w:val="18"/>
          <w:color w:val="auto"/>
        </w:rPr>
        <w:t>For each of Dr. Tanimoto and Mr. Chakma, the combination of a 75% corporate score and 100% individual performance resulted in a combined performance score of 82.5%.</w:t>
      </w:r>
    </w:p>
    <w:p>
      <w:pPr>
        <w:spacing w:after="0" w:line="154" w:lineRule="exact"/>
        <w:rPr>
          <w:sz w:val="20"/>
          <w:szCs w:val="20"/>
          <w:color w:val="auto"/>
        </w:rPr>
      </w:pPr>
    </w:p>
    <w:p>
      <w:pPr>
        <w:ind w:left="300" w:right="399" w:firstLine="441"/>
        <w:spacing w:after="0" w:line="253" w:lineRule="auto"/>
        <w:rPr>
          <w:sz w:val="20"/>
          <w:szCs w:val="20"/>
          <w:color w:val="auto"/>
        </w:rPr>
      </w:pPr>
      <w:r>
        <w:rPr>
          <w:rFonts w:ascii="Arial" w:cs="Arial" w:eastAsia="Arial" w:hAnsi="Arial"/>
          <w:sz w:val="18"/>
          <w:szCs w:val="18"/>
          <w:color w:val="auto"/>
        </w:rPr>
        <w:t>Based on this determination, the Compensation Committee approved annual performance bonuses as follows, which amounts are reported in the “Non-Equity Incentive Plan Compensation” column of the Summary Compensation Table:</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169"/>
        </w:trPr>
        <w:tc>
          <w:tcPr>
            <w:tcW w:w="2120" w:type="dxa"/>
            <w:vAlign w:val="bottom"/>
            <w:shd w:val="clear" w:color="auto" w:fill="0B4B73"/>
          </w:tcPr>
          <w:p>
            <w:pPr>
              <w:spacing w:after="0"/>
              <w:rPr>
                <w:sz w:val="14"/>
                <w:szCs w:val="14"/>
                <w:color w:val="auto"/>
              </w:rPr>
            </w:pPr>
          </w:p>
        </w:tc>
        <w:tc>
          <w:tcPr>
            <w:tcW w:w="2620" w:type="dxa"/>
            <w:vAlign w:val="bottom"/>
            <w:gridSpan w:val="3"/>
            <w:shd w:val="clear" w:color="auto" w:fill="0B4B73"/>
          </w:tcPr>
          <w:p>
            <w:pPr>
              <w:jc w:val="right"/>
              <w:ind w:right="408"/>
              <w:spacing w:after="0"/>
              <w:rPr>
                <w:sz w:val="20"/>
                <w:szCs w:val="20"/>
                <w:color w:val="auto"/>
              </w:rPr>
            </w:pPr>
            <w:r>
              <w:rPr>
                <w:rFonts w:ascii="Arial" w:cs="Arial" w:eastAsia="Arial" w:hAnsi="Arial"/>
                <w:sz w:val="14"/>
                <w:szCs w:val="14"/>
                <w:b w:val="1"/>
                <w:bCs w:val="1"/>
                <w:color w:val="FFFFFF"/>
              </w:rPr>
              <w:t>2025 Bonus Opportunity</w:t>
            </w:r>
          </w:p>
        </w:tc>
        <w:tc>
          <w:tcPr>
            <w:tcW w:w="2960" w:type="dxa"/>
            <w:vAlign w:val="bottom"/>
            <w:gridSpan w:val="3"/>
            <w:shd w:val="clear" w:color="auto" w:fill="0B4B73"/>
          </w:tcPr>
          <w:p>
            <w:pPr>
              <w:ind w:left="740"/>
              <w:spacing w:after="0"/>
              <w:rPr>
                <w:sz w:val="20"/>
                <w:szCs w:val="20"/>
                <w:color w:val="auto"/>
              </w:rPr>
            </w:pPr>
            <w:r>
              <w:rPr>
                <w:rFonts w:ascii="Arial" w:cs="Arial" w:eastAsia="Arial" w:hAnsi="Arial"/>
                <w:sz w:val="14"/>
                <w:szCs w:val="14"/>
                <w:b w:val="1"/>
                <w:bCs w:val="1"/>
                <w:color w:val="FFFFFF"/>
              </w:rPr>
              <w:t>Actual Performance and Payout</w:t>
            </w:r>
          </w:p>
        </w:tc>
        <w:tc>
          <w:tcPr>
            <w:tcW w:w="720" w:type="dxa"/>
            <w:vAlign w:val="bottom"/>
            <w:shd w:val="clear" w:color="auto" w:fill="0B4B73"/>
          </w:tcPr>
          <w:p>
            <w:pPr>
              <w:spacing w:after="0"/>
              <w:rPr>
                <w:sz w:val="14"/>
                <w:szCs w:val="14"/>
                <w:color w:val="auto"/>
              </w:rPr>
            </w:pPr>
          </w:p>
        </w:tc>
      </w:tr>
      <w:tr>
        <w:trPr>
          <w:trHeight w:val="169"/>
        </w:trPr>
        <w:tc>
          <w:tcPr>
            <w:tcW w:w="2120" w:type="dxa"/>
            <w:vAlign w:val="bottom"/>
            <w:shd w:val="clear" w:color="auto" w:fill="0B4B73"/>
          </w:tcPr>
          <w:p>
            <w:pPr>
              <w:spacing w:after="0"/>
              <w:rPr>
                <w:sz w:val="14"/>
                <w:szCs w:val="14"/>
                <w:color w:val="auto"/>
              </w:rPr>
            </w:pPr>
          </w:p>
        </w:tc>
        <w:tc>
          <w:tcPr>
            <w:tcW w:w="860" w:type="dxa"/>
            <w:vAlign w:val="bottom"/>
            <w:shd w:val="clear" w:color="auto" w:fill="0B4B73"/>
          </w:tcPr>
          <w:p>
            <w:pPr>
              <w:spacing w:after="0"/>
              <w:rPr>
                <w:sz w:val="14"/>
                <w:szCs w:val="14"/>
                <w:color w:val="auto"/>
              </w:rPr>
            </w:pPr>
          </w:p>
        </w:tc>
        <w:tc>
          <w:tcPr>
            <w:tcW w:w="840" w:type="dxa"/>
            <w:vAlign w:val="bottom"/>
            <w:shd w:val="clear" w:color="auto" w:fill="0B4B73"/>
          </w:tcPr>
          <w:p>
            <w:pPr>
              <w:jc w:val="center"/>
              <w:ind w:left="88"/>
              <w:spacing w:after="0"/>
              <w:rPr>
                <w:sz w:val="20"/>
                <w:szCs w:val="20"/>
                <w:color w:val="auto"/>
              </w:rPr>
            </w:pPr>
            <w:r>
              <w:rPr>
                <w:rFonts w:ascii="Arial" w:cs="Arial" w:eastAsia="Arial" w:hAnsi="Arial"/>
                <w:sz w:val="14"/>
                <w:szCs w:val="14"/>
                <w:b w:val="1"/>
                <w:bCs w:val="1"/>
                <w:color w:val="FFFFFF"/>
              </w:rPr>
              <w:t>Target</w:t>
            </w:r>
          </w:p>
        </w:tc>
        <w:tc>
          <w:tcPr>
            <w:tcW w:w="920" w:type="dxa"/>
            <w:vAlign w:val="bottom"/>
            <w:shd w:val="clear" w:color="auto" w:fill="0B4B73"/>
          </w:tcPr>
          <w:p>
            <w:pPr>
              <w:spacing w:after="0"/>
              <w:rPr>
                <w:sz w:val="14"/>
                <w:szCs w:val="14"/>
                <w:color w:val="auto"/>
              </w:rPr>
            </w:pPr>
          </w:p>
        </w:tc>
        <w:tc>
          <w:tcPr>
            <w:tcW w:w="84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720" w:type="dxa"/>
            <w:vAlign w:val="bottom"/>
            <w:shd w:val="clear" w:color="auto" w:fill="0B4B73"/>
          </w:tcPr>
          <w:p>
            <w:pPr>
              <w:spacing w:after="0"/>
              <w:rPr>
                <w:sz w:val="14"/>
                <w:szCs w:val="14"/>
                <w:color w:val="auto"/>
              </w:rPr>
            </w:pPr>
          </w:p>
        </w:tc>
      </w:tr>
      <w:tr>
        <w:trPr>
          <w:trHeight w:val="162"/>
        </w:trPr>
        <w:tc>
          <w:tcPr>
            <w:tcW w:w="2120" w:type="dxa"/>
            <w:vAlign w:val="bottom"/>
            <w:shd w:val="clear" w:color="auto" w:fill="0B4B73"/>
          </w:tcPr>
          <w:p>
            <w:pPr>
              <w:spacing w:after="0"/>
              <w:rPr>
                <w:sz w:val="14"/>
                <w:szCs w:val="14"/>
                <w:color w:val="auto"/>
              </w:rPr>
            </w:pPr>
          </w:p>
        </w:tc>
        <w:tc>
          <w:tcPr>
            <w:tcW w:w="860" w:type="dxa"/>
            <w:vAlign w:val="bottom"/>
            <w:shd w:val="clear" w:color="auto" w:fill="0B4B73"/>
          </w:tcPr>
          <w:p>
            <w:pPr>
              <w:spacing w:after="0"/>
              <w:rPr>
                <w:sz w:val="14"/>
                <w:szCs w:val="14"/>
                <w:color w:val="auto"/>
              </w:rPr>
            </w:pPr>
          </w:p>
        </w:tc>
        <w:tc>
          <w:tcPr>
            <w:tcW w:w="840" w:type="dxa"/>
            <w:vAlign w:val="bottom"/>
            <w:shd w:val="clear" w:color="auto" w:fill="0B4B73"/>
          </w:tcPr>
          <w:p>
            <w:pPr>
              <w:jc w:val="center"/>
              <w:ind w:left="88"/>
              <w:spacing w:after="0"/>
              <w:rPr>
                <w:sz w:val="20"/>
                <w:szCs w:val="20"/>
                <w:color w:val="auto"/>
              </w:rPr>
            </w:pPr>
            <w:r>
              <w:rPr>
                <w:rFonts w:ascii="Arial" w:cs="Arial" w:eastAsia="Arial" w:hAnsi="Arial"/>
                <w:sz w:val="14"/>
                <w:szCs w:val="14"/>
                <w:b w:val="1"/>
                <w:bCs w:val="1"/>
                <w:color w:val="FFFFFF"/>
              </w:rPr>
              <w:t>Bonus</w:t>
            </w:r>
          </w:p>
        </w:tc>
        <w:tc>
          <w:tcPr>
            <w:tcW w:w="920" w:type="dxa"/>
            <w:vAlign w:val="bottom"/>
            <w:shd w:val="clear" w:color="auto" w:fill="0B4B73"/>
          </w:tcPr>
          <w:p>
            <w:pPr>
              <w:spacing w:after="0"/>
              <w:rPr>
                <w:sz w:val="14"/>
                <w:szCs w:val="14"/>
                <w:color w:val="auto"/>
              </w:rPr>
            </w:pPr>
          </w:p>
        </w:tc>
        <w:tc>
          <w:tcPr>
            <w:tcW w:w="84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720" w:type="dxa"/>
            <w:vAlign w:val="bottom"/>
            <w:shd w:val="clear" w:color="auto" w:fill="0B4B73"/>
          </w:tcPr>
          <w:p>
            <w:pPr>
              <w:spacing w:after="0"/>
              <w:rPr>
                <w:sz w:val="14"/>
                <w:szCs w:val="14"/>
                <w:color w:val="auto"/>
              </w:rPr>
            </w:pPr>
          </w:p>
        </w:tc>
      </w:tr>
      <w:tr>
        <w:trPr>
          <w:trHeight w:val="162"/>
        </w:trPr>
        <w:tc>
          <w:tcPr>
            <w:tcW w:w="2120" w:type="dxa"/>
            <w:vAlign w:val="bottom"/>
            <w:shd w:val="clear" w:color="auto" w:fill="0B4B73"/>
          </w:tcPr>
          <w:p>
            <w:pPr>
              <w:spacing w:after="0"/>
              <w:rPr>
                <w:sz w:val="14"/>
                <w:szCs w:val="14"/>
                <w:color w:val="auto"/>
              </w:rPr>
            </w:pPr>
          </w:p>
        </w:tc>
        <w:tc>
          <w:tcPr>
            <w:tcW w:w="860" w:type="dxa"/>
            <w:vAlign w:val="bottom"/>
            <w:shd w:val="clear" w:color="auto" w:fill="0B4B73"/>
          </w:tcPr>
          <w:p>
            <w:pPr>
              <w:jc w:val="right"/>
              <w:ind w:right="168"/>
              <w:spacing w:after="0"/>
              <w:rPr>
                <w:sz w:val="20"/>
                <w:szCs w:val="20"/>
                <w:color w:val="auto"/>
              </w:rPr>
            </w:pPr>
            <w:r>
              <w:rPr>
                <w:rFonts w:ascii="Arial" w:cs="Arial" w:eastAsia="Arial" w:hAnsi="Arial"/>
                <w:sz w:val="14"/>
                <w:szCs w:val="14"/>
                <w:b w:val="1"/>
                <w:bCs w:val="1"/>
                <w:color w:val="FFFFFF"/>
              </w:rPr>
              <w:t>2025</w:t>
            </w:r>
          </w:p>
        </w:tc>
        <w:tc>
          <w:tcPr>
            <w:tcW w:w="840" w:type="dxa"/>
            <w:vAlign w:val="bottom"/>
            <w:shd w:val="clear" w:color="auto" w:fill="0B4B73"/>
          </w:tcPr>
          <w:p>
            <w:pPr>
              <w:jc w:val="center"/>
              <w:ind w:left="108"/>
              <w:spacing w:after="0"/>
              <w:rPr>
                <w:sz w:val="20"/>
                <w:szCs w:val="20"/>
                <w:color w:val="auto"/>
              </w:rPr>
            </w:pPr>
            <w:r>
              <w:rPr>
                <w:rFonts w:ascii="Arial" w:cs="Arial" w:eastAsia="Arial" w:hAnsi="Arial"/>
                <w:sz w:val="14"/>
                <w:szCs w:val="14"/>
                <w:b w:val="1"/>
                <w:bCs w:val="1"/>
                <w:color w:val="FFFFFF"/>
              </w:rPr>
              <w:t>as a % of</w:t>
            </w:r>
          </w:p>
        </w:tc>
        <w:tc>
          <w:tcPr>
            <w:tcW w:w="920" w:type="dxa"/>
            <w:vAlign w:val="bottom"/>
            <w:shd w:val="clear" w:color="auto" w:fill="0B4B73"/>
          </w:tcPr>
          <w:p>
            <w:pPr>
              <w:spacing w:after="0"/>
              <w:rPr>
                <w:sz w:val="14"/>
                <w:szCs w:val="14"/>
                <w:color w:val="auto"/>
              </w:rPr>
            </w:pPr>
          </w:p>
        </w:tc>
        <w:tc>
          <w:tcPr>
            <w:tcW w:w="84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1100" w:type="dxa"/>
            <w:vAlign w:val="bottom"/>
            <w:shd w:val="clear" w:color="auto" w:fill="0B4B73"/>
          </w:tcPr>
          <w:p>
            <w:pPr>
              <w:jc w:val="center"/>
              <w:ind w:right="8"/>
              <w:spacing w:after="0"/>
              <w:rPr>
                <w:sz w:val="20"/>
                <w:szCs w:val="20"/>
                <w:color w:val="auto"/>
              </w:rPr>
            </w:pPr>
            <w:r>
              <w:rPr>
                <w:rFonts w:ascii="Arial" w:cs="Arial" w:eastAsia="Arial" w:hAnsi="Arial"/>
                <w:sz w:val="14"/>
                <w:szCs w:val="14"/>
                <w:b w:val="1"/>
                <w:bCs w:val="1"/>
                <w:color w:val="FFFFFF"/>
              </w:rPr>
              <w:t>Combined</w:t>
            </w:r>
          </w:p>
        </w:tc>
        <w:tc>
          <w:tcPr>
            <w:tcW w:w="720" w:type="dxa"/>
            <w:vAlign w:val="bottom"/>
            <w:shd w:val="clear" w:color="auto" w:fill="0B4B73"/>
          </w:tcPr>
          <w:p>
            <w:pPr>
              <w:jc w:val="right"/>
              <w:ind w:right="208"/>
              <w:spacing w:after="0"/>
              <w:rPr>
                <w:sz w:val="20"/>
                <w:szCs w:val="20"/>
                <w:color w:val="auto"/>
              </w:rPr>
            </w:pPr>
            <w:r>
              <w:rPr>
                <w:rFonts w:ascii="Arial" w:cs="Arial" w:eastAsia="Arial" w:hAnsi="Arial"/>
                <w:sz w:val="14"/>
                <w:szCs w:val="14"/>
                <w:b w:val="1"/>
                <w:bCs w:val="1"/>
                <w:color w:val="FFFFFF"/>
              </w:rPr>
              <w:t>2025</w:t>
            </w:r>
          </w:p>
        </w:tc>
      </w:tr>
      <w:tr>
        <w:trPr>
          <w:trHeight w:val="162"/>
        </w:trPr>
        <w:tc>
          <w:tcPr>
            <w:tcW w:w="2120" w:type="dxa"/>
            <w:vAlign w:val="bottom"/>
            <w:shd w:val="clear" w:color="auto" w:fill="0B4B73"/>
          </w:tcPr>
          <w:p>
            <w:pPr>
              <w:spacing w:after="0"/>
              <w:rPr>
                <w:sz w:val="14"/>
                <w:szCs w:val="14"/>
                <w:color w:val="auto"/>
              </w:rPr>
            </w:pPr>
          </w:p>
        </w:tc>
        <w:tc>
          <w:tcPr>
            <w:tcW w:w="860" w:type="dxa"/>
            <w:vAlign w:val="bottom"/>
            <w:shd w:val="clear" w:color="auto" w:fill="0B4B73"/>
          </w:tcPr>
          <w:p>
            <w:pPr>
              <w:jc w:val="right"/>
              <w:ind w:right="148"/>
              <w:spacing w:after="0"/>
              <w:rPr>
                <w:sz w:val="20"/>
                <w:szCs w:val="20"/>
                <w:color w:val="auto"/>
              </w:rPr>
            </w:pPr>
            <w:r>
              <w:rPr>
                <w:rFonts w:ascii="Arial" w:cs="Arial" w:eastAsia="Arial" w:hAnsi="Arial"/>
                <w:sz w:val="14"/>
                <w:szCs w:val="14"/>
                <w:b w:val="1"/>
                <w:bCs w:val="1"/>
                <w:color w:val="FFFFFF"/>
              </w:rPr>
              <w:t>Base</w:t>
            </w:r>
          </w:p>
        </w:tc>
        <w:tc>
          <w:tcPr>
            <w:tcW w:w="840" w:type="dxa"/>
            <w:vAlign w:val="bottom"/>
            <w:shd w:val="clear" w:color="auto" w:fill="0B4B73"/>
          </w:tcPr>
          <w:p>
            <w:pPr>
              <w:jc w:val="center"/>
              <w:ind w:left="108"/>
              <w:spacing w:after="0"/>
              <w:rPr>
                <w:sz w:val="20"/>
                <w:szCs w:val="20"/>
                <w:color w:val="auto"/>
              </w:rPr>
            </w:pPr>
            <w:r>
              <w:rPr>
                <w:rFonts w:ascii="Arial" w:cs="Arial" w:eastAsia="Arial" w:hAnsi="Arial"/>
                <w:sz w:val="14"/>
                <w:szCs w:val="14"/>
                <w:b w:val="1"/>
                <w:bCs w:val="1"/>
                <w:color w:val="FFFFFF"/>
              </w:rPr>
              <w:t>Base</w:t>
            </w:r>
          </w:p>
        </w:tc>
        <w:tc>
          <w:tcPr>
            <w:tcW w:w="9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Target</w:t>
            </w:r>
          </w:p>
        </w:tc>
        <w:tc>
          <w:tcPr>
            <w:tcW w:w="8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Corporate</w:t>
            </w: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Individual</w:t>
            </w:r>
          </w:p>
        </w:tc>
        <w:tc>
          <w:tcPr>
            <w:tcW w:w="110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Performance</w:t>
            </w:r>
          </w:p>
        </w:tc>
        <w:tc>
          <w:tcPr>
            <w:tcW w:w="720" w:type="dxa"/>
            <w:vAlign w:val="bottom"/>
            <w:shd w:val="clear" w:color="auto" w:fill="0B4B73"/>
          </w:tcPr>
          <w:p>
            <w:pPr>
              <w:jc w:val="right"/>
              <w:ind w:right="128"/>
              <w:spacing w:after="0"/>
              <w:rPr>
                <w:sz w:val="20"/>
                <w:szCs w:val="20"/>
                <w:color w:val="auto"/>
              </w:rPr>
            </w:pPr>
            <w:r>
              <w:rPr>
                <w:rFonts w:ascii="Arial" w:cs="Arial" w:eastAsia="Arial" w:hAnsi="Arial"/>
                <w:sz w:val="14"/>
                <w:szCs w:val="14"/>
                <w:b w:val="1"/>
                <w:bCs w:val="1"/>
                <w:color w:val="FFFFFF"/>
              </w:rPr>
              <w:t>Earned</w:t>
            </w:r>
          </w:p>
        </w:tc>
      </w:tr>
      <w:tr>
        <w:trPr>
          <w:trHeight w:val="162"/>
        </w:trPr>
        <w:tc>
          <w:tcPr>
            <w:tcW w:w="2120" w:type="dxa"/>
            <w:vAlign w:val="bottom"/>
            <w:shd w:val="clear" w:color="auto" w:fill="0B4B73"/>
          </w:tcPr>
          <w:p>
            <w:pPr>
              <w:spacing w:after="0"/>
              <w:rPr>
                <w:sz w:val="14"/>
                <w:szCs w:val="14"/>
                <w:color w:val="auto"/>
              </w:rPr>
            </w:pPr>
          </w:p>
        </w:tc>
        <w:tc>
          <w:tcPr>
            <w:tcW w:w="860" w:type="dxa"/>
            <w:vAlign w:val="bottom"/>
            <w:shd w:val="clear" w:color="auto" w:fill="0B4B73"/>
          </w:tcPr>
          <w:p>
            <w:pPr>
              <w:jc w:val="right"/>
              <w:ind w:right="108"/>
              <w:spacing w:after="0"/>
              <w:rPr>
                <w:sz w:val="20"/>
                <w:szCs w:val="20"/>
                <w:color w:val="auto"/>
              </w:rPr>
            </w:pPr>
            <w:r>
              <w:rPr>
                <w:rFonts w:ascii="Arial" w:cs="Arial" w:eastAsia="Arial" w:hAnsi="Arial"/>
                <w:sz w:val="14"/>
                <w:szCs w:val="14"/>
                <w:b w:val="1"/>
                <w:bCs w:val="1"/>
                <w:color w:val="FFFFFF"/>
              </w:rPr>
              <w:t>Salary</w:t>
            </w:r>
          </w:p>
        </w:tc>
        <w:tc>
          <w:tcPr>
            <w:tcW w:w="840" w:type="dxa"/>
            <w:vAlign w:val="bottom"/>
            <w:shd w:val="clear" w:color="auto" w:fill="0B4B73"/>
          </w:tcPr>
          <w:p>
            <w:pPr>
              <w:jc w:val="center"/>
              <w:ind w:left="88"/>
              <w:spacing w:after="0"/>
              <w:rPr>
                <w:sz w:val="20"/>
                <w:szCs w:val="20"/>
                <w:color w:val="auto"/>
              </w:rPr>
            </w:pPr>
            <w:r>
              <w:rPr>
                <w:rFonts w:ascii="Arial" w:cs="Arial" w:eastAsia="Arial" w:hAnsi="Arial"/>
                <w:sz w:val="14"/>
                <w:szCs w:val="14"/>
                <w:b w:val="1"/>
                <w:bCs w:val="1"/>
                <w:color w:val="FFFFFF"/>
              </w:rPr>
              <w:t>Salary</w:t>
            </w:r>
          </w:p>
        </w:tc>
        <w:tc>
          <w:tcPr>
            <w:tcW w:w="9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Bonus</w:t>
            </w:r>
          </w:p>
        </w:tc>
        <w:tc>
          <w:tcPr>
            <w:tcW w:w="8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Multiplier</w:t>
            </w: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Performance</w:t>
            </w:r>
          </w:p>
        </w:tc>
        <w:tc>
          <w:tcPr>
            <w:tcW w:w="110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Score</w:t>
            </w:r>
          </w:p>
        </w:tc>
        <w:tc>
          <w:tcPr>
            <w:tcW w:w="720" w:type="dxa"/>
            <w:vAlign w:val="bottom"/>
            <w:shd w:val="clear" w:color="auto" w:fill="0B4B73"/>
          </w:tcPr>
          <w:p>
            <w:pPr>
              <w:jc w:val="right"/>
              <w:ind w:right="148"/>
              <w:spacing w:after="0"/>
              <w:rPr>
                <w:sz w:val="20"/>
                <w:szCs w:val="20"/>
                <w:color w:val="auto"/>
              </w:rPr>
            </w:pPr>
            <w:r>
              <w:rPr>
                <w:rFonts w:ascii="Arial" w:cs="Arial" w:eastAsia="Arial" w:hAnsi="Arial"/>
                <w:sz w:val="14"/>
                <w:szCs w:val="14"/>
                <w:b w:val="1"/>
                <w:bCs w:val="1"/>
                <w:color w:val="FFFFFF"/>
              </w:rPr>
              <w:t>Bonus</w:t>
            </w:r>
          </w:p>
        </w:tc>
      </w:tr>
      <w:tr>
        <w:trPr>
          <w:trHeight w:val="183"/>
        </w:trPr>
        <w:tc>
          <w:tcPr>
            <w:tcW w:w="2120" w:type="dxa"/>
            <w:vAlign w:val="bottom"/>
            <w:tcBorders>
              <w:bottom w:val="single" w:sz="8" w:color="C3D041"/>
            </w:tcBorders>
            <w:shd w:val="clear" w:color="auto" w:fill="0B4B73"/>
          </w:tcPr>
          <w:p>
            <w:pPr>
              <w:ind w:left="840"/>
              <w:spacing w:after="0"/>
              <w:rPr>
                <w:sz w:val="20"/>
                <w:szCs w:val="20"/>
                <w:color w:val="auto"/>
              </w:rPr>
            </w:pPr>
            <w:r>
              <w:rPr>
                <w:rFonts w:ascii="Arial" w:cs="Arial" w:eastAsia="Arial" w:hAnsi="Arial"/>
                <w:sz w:val="14"/>
                <w:szCs w:val="14"/>
                <w:b w:val="1"/>
                <w:bCs w:val="1"/>
                <w:color w:val="FFFFFF"/>
              </w:rPr>
              <w:t>Name</w:t>
            </w:r>
          </w:p>
        </w:tc>
        <w:tc>
          <w:tcPr>
            <w:tcW w:w="860" w:type="dxa"/>
            <w:vAlign w:val="bottom"/>
            <w:tcBorders>
              <w:bottom w:val="single" w:sz="8" w:color="C3D041"/>
            </w:tcBorders>
            <w:shd w:val="clear" w:color="auto" w:fill="0B4B73"/>
          </w:tcPr>
          <w:p>
            <w:pPr>
              <w:jc w:val="right"/>
              <w:ind w:right="228"/>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C3D041"/>
            </w:tcBorders>
            <w:shd w:val="clear" w:color="auto" w:fill="0B4B73"/>
          </w:tcPr>
          <w:p>
            <w:pPr>
              <w:jc w:val="center"/>
              <w:ind w:left="10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C3D041"/>
            </w:tcBorders>
            <w:shd w:val="clear" w:color="auto" w:fill="0B4B73"/>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C3D041"/>
            </w:tcBorders>
            <w:shd w:val="clear" w:color="auto" w:fill="0B4B73"/>
          </w:tcPr>
          <w:p>
            <w:pPr>
              <w:jc w:val="center"/>
              <w:ind w:right="8"/>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C3D041"/>
            </w:tcBorders>
            <w:shd w:val="clear" w:color="auto" w:fill="0B4B73"/>
          </w:tcPr>
          <w:p>
            <w:pPr>
              <w:jc w:val="right"/>
              <w:ind w:right="248"/>
              <w:spacing w:after="0"/>
              <w:rPr>
                <w:sz w:val="20"/>
                <w:szCs w:val="20"/>
                <w:color w:val="auto"/>
              </w:rPr>
            </w:pPr>
            <w:r>
              <w:rPr>
                <w:rFonts w:ascii="Arial" w:cs="Arial" w:eastAsia="Arial" w:hAnsi="Arial"/>
                <w:sz w:val="14"/>
                <w:szCs w:val="14"/>
                <w:b w:val="1"/>
                <w:bCs w:val="1"/>
                <w:color w:val="FFFFFF"/>
              </w:rPr>
              <w:t>(%)</w:t>
            </w:r>
          </w:p>
        </w:tc>
      </w:tr>
      <w:tr>
        <w:trPr>
          <w:trHeight w:val="162"/>
        </w:trPr>
        <w:tc>
          <w:tcPr>
            <w:tcW w:w="2120" w:type="dxa"/>
            <w:vAlign w:val="bottom"/>
            <w:shd w:val="clear" w:color="auto" w:fill="E4EDF1"/>
          </w:tcPr>
          <w:p>
            <w:pPr>
              <w:spacing w:after="0"/>
              <w:rPr>
                <w:sz w:val="20"/>
                <w:szCs w:val="20"/>
                <w:color w:val="auto"/>
              </w:rPr>
            </w:pPr>
            <w:r>
              <w:rPr>
                <w:rFonts w:ascii="Arial" w:cs="Arial" w:eastAsia="Arial" w:hAnsi="Arial"/>
                <w:sz w:val="14"/>
                <w:szCs w:val="14"/>
                <w:color w:val="auto"/>
              </w:rPr>
              <w:t>Richard Lowenthal, M.S., MSEL</w:t>
            </w:r>
          </w:p>
        </w:tc>
        <w:tc>
          <w:tcPr>
            <w:tcW w:w="860" w:type="dxa"/>
            <w:vAlign w:val="bottom"/>
            <w:shd w:val="clear" w:color="auto" w:fill="E4EDF1"/>
          </w:tcPr>
          <w:p>
            <w:pPr>
              <w:jc w:val="right"/>
              <w:spacing w:after="0"/>
              <w:rPr>
                <w:sz w:val="20"/>
                <w:szCs w:val="20"/>
                <w:color w:val="auto"/>
              </w:rPr>
            </w:pPr>
            <w:r>
              <w:rPr>
                <w:rFonts w:ascii="Arial" w:cs="Arial" w:eastAsia="Arial" w:hAnsi="Arial"/>
                <w:sz w:val="14"/>
                <w:szCs w:val="14"/>
                <w:color w:val="auto"/>
              </w:rPr>
              <w:t>700,000</w:t>
            </w:r>
          </w:p>
        </w:tc>
        <w:tc>
          <w:tcPr>
            <w:tcW w:w="840" w:type="dxa"/>
            <w:vAlign w:val="bottom"/>
            <w:shd w:val="clear" w:color="auto" w:fill="E4EDF1"/>
          </w:tcPr>
          <w:p>
            <w:pPr>
              <w:jc w:val="center"/>
              <w:ind w:left="88"/>
              <w:spacing w:after="0"/>
              <w:rPr>
                <w:sz w:val="20"/>
                <w:szCs w:val="20"/>
                <w:color w:val="auto"/>
              </w:rPr>
            </w:pPr>
            <w:r>
              <w:rPr>
                <w:rFonts w:ascii="Arial" w:cs="Arial" w:eastAsia="Arial" w:hAnsi="Arial"/>
                <w:sz w:val="14"/>
                <w:szCs w:val="14"/>
                <w:color w:val="auto"/>
                <w:w w:val="99"/>
              </w:rPr>
              <w:t>60%</w:t>
            </w:r>
          </w:p>
        </w:tc>
        <w:tc>
          <w:tcPr>
            <w:tcW w:w="920" w:type="dxa"/>
            <w:vAlign w:val="bottom"/>
            <w:shd w:val="clear" w:color="auto" w:fill="E4EDF1"/>
          </w:tcPr>
          <w:p>
            <w:pPr>
              <w:jc w:val="right"/>
              <w:ind w:right="28"/>
              <w:spacing w:after="0"/>
              <w:rPr>
                <w:sz w:val="20"/>
                <w:szCs w:val="20"/>
                <w:color w:val="auto"/>
              </w:rPr>
            </w:pPr>
            <w:r>
              <w:rPr>
                <w:rFonts w:ascii="Arial" w:cs="Arial" w:eastAsia="Arial" w:hAnsi="Arial"/>
                <w:sz w:val="14"/>
                <w:szCs w:val="14"/>
                <w:color w:val="auto"/>
              </w:rPr>
              <w:t>420,000</w:t>
            </w:r>
          </w:p>
        </w:tc>
        <w:tc>
          <w:tcPr>
            <w:tcW w:w="840" w:type="dxa"/>
            <w:vAlign w:val="bottom"/>
            <w:shd w:val="clear" w:color="auto" w:fill="E4EDF1"/>
          </w:tcPr>
          <w:p>
            <w:pPr>
              <w:jc w:val="center"/>
              <w:spacing w:after="0"/>
              <w:rPr>
                <w:sz w:val="20"/>
                <w:szCs w:val="20"/>
                <w:color w:val="auto"/>
              </w:rPr>
            </w:pPr>
            <w:r>
              <w:rPr>
                <w:rFonts w:ascii="Arial" w:cs="Arial" w:eastAsia="Arial" w:hAnsi="Arial"/>
                <w:sz w:val="14"/>
                <w:szCs w:val="14"/>
                <w:color w:val="auto"/>
              </w:rPr>
              <w:t>75.0%</w:t>
            </w:r>
          </w:p>
        </w:tc>
        <w:tc>
          <w:tcPr>
            <w:tcW w:w="1020" w:type="dxa"/>
            <w:vAlign w:val="bottom"/>
            <w:shd w:val="clear" w:color="auto" w:fill="E4EDF1"/>
          </w:tcPr>
          <w:p>
            <w:pPr>
              <w:jc w:val="center"/>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E4EDF1"/>
          </w:tcPr>
          <w:p>
            <w:pPr>
              <w:jc w:val="center"/>
              <w:ind w:right="8"/>
              <w:spacing w:after="0"/>
              <w:rPr>
                <w:sz w:val="20"/>
                <w:szCs w:val="20"/>
                <w:color w:val="auto"/>
              </w:rPr>
            </w:pPr>
            <w:r>
              <w:rPr>
                <w:rFonts w:ascii="Arial" w:cs="Arial" w:eastAsia="Arial" w:hAnsi="Arial"/>
                <w:sz w:val="14"/>
                <w:szCs w:val="14"/>
                <w:color w:val="auto"/>
              </w:rPr>
              <w:t>75.0%</w:t>
            </w:r>
          </w:p>
        </w:tc>
        <w:tc>
          <w:tcPr>
            <w:tcW w:w="720" w:type="dxa"/>
            <w:vAlign w:val="bottom"/>
            <w:shd w:val="clear" w:color="auto" w:fill="E4EDF1"/>
          </w:tcPr>
          <w:p>
            <w:pPr>
              <w:jc w:val="right"/>
              <w:ind w:right="28"/>
              <w:spacing w:after="0"/>
              <w:rPr>
                <w:sz w:val="20"/>
                <w:szCs w:val="20"/>
                <w:color w:val="auto"/>
              </w:rPr>
            </w:pPr>
            <w:r>
              <w:rPr>
                <w:rFonts w:ascii="Arial" w:cs="Arial" w:eastAsia="Arial" w:hAnsi="Arial"/>
                <w:sz w:val="14"/>
                <w:szCs w:val="14"/>
                <w:color w:val="auto"/>
              </w:rPr>
              <w:t>315,000</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Sarina Tanimoto, M.D., M.B.A.</w:t>
            </w:r>
          </w:p>
        </w:tc>
        <w:tc>
          <w:tcPr>
            <w:tcW w:w="860" w:type="dxa"/>
            <w:vAlign w:val="bottom"/>
          </w:tcPr>
          <w:p>
            <w:pPr>
              <w:jc w:val="right"/>
              <w:spacing w:after="0"/>
              <w:rPr>
                <w:sz w:val="20"/>
                <w:szCs w:val="20"/>
                <w:color w:val="auto"/>
              </w:rPr>
            </w:pPr>
            <w:r>
              <w:rPr>
                <w:rFonts w:ascii="Arial" w:cs="Arial" w:eastAsia="Arial" w:hAnsi="Arial"/>
                <w:sz w:val="14"/>
                <w:szCs w:val="14"/>
                <w:color w:val="auto"/>
              </w:rPr>
              <w:t>540,000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w w:val="99"/>
              </w:rPr>
              <w:t>40%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216,000</w:t>
            </w:r>
          </w:p>
        </w:tc>
        <w:tc>
          <w:tcPr>
            <w:tcW w:w="840" w:type="dxa"/>
            <w:vAlign w:val="bottom"/>
          </w:tcPr>
          <w:p>
            <w:pPr>
              <w:jc w:val="center"/>
              <w:spacing w:after="0"/>
              <w:rPr>
                <w:sz w:val="20"/>
                <w:szCs w:val="20"/>
                <w:color w:val="auto"/>
              </w:rPr>
            </w:pPr>
            <w:r>
              <w:rPr>
                <w:rFonts w:ascii="Arial" w:cs="Arial" w:eastAsia="Arial" w:hAnsi="Arial"/>
                <w:sz w:val="14"/>
                <w:szCs w:val="14"/>
                <w:color w:val="auto"/>
              </w:rPr>
              <w:t>75.0%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100.0%</w:t>
            </w:r>
          </w:p>
        </w:tc>
        <w:tc>
          <w:tcPr>
            <w:tcW w:w="1100" w:type="dxa"/>
            <w:vAlign w:val="bottom"/>
          </w:tcPr>
          <w:p>
            <w:pPr>
              <w:jc w:val="center"/>
              <w:ind w:right="8"/>
              <w:spacing w:after="0"/>
              <w:rPr>
                <w:sz w:val="20"/>
                <w:szCs w:val="20"/>
                <w:color w:val="auto"/>
              </w:rPr>
            </w:pPr>
            <w:r>
              <w:rPr>
                <w:rFonts w:ascii="Arial" w:cs="Arial" w:eastAsia="Arial" w:hAnsi="Arial"/>
                <w:sz w:val="14"/>
                <w:szCs w:val="14"/>
                <w:color w:val="auto"/>
              </w:rPr>
              <w:t>82.5%</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178,200</w:t>
            </w:r>
          </w:p>
        </w:tc>
      </w:tr>
      <w:tr>
        <w:trPr>
          <w:trHeight w:val="162"/>
        </w:trPr>
        <w:tc>
          <w:tcPr>
            <w:tcW w:w="2120" w:type="dxa"/>
            <w:vAlign w:val="bottom"/>
            <w:shd w:val="clear" w:color="auto" w:fill="E4EDF1"/>
          </w:tcPr>
          <w:p>
            <w:pPr>
              <w:spacing w:after="0"/>
              <w:rPr>
                <w:sz w:val="20"/>
                <w:szCs w:val="20"/>
                <w:color w:val="auto"/>
              </w:rPr>
            </w:pPr>
            <w:r>
              <w:rPr>
                <w:rFonts w:ascii="Arial" w:cs="Arial" w:eastAsia="Arial" w:hAnsi="Arial"/>
                <w:sz w:val="14"/>
                <w:szCs w:val="14"/>
                <w:color w:val="auto"/>
              </w:rPr>
              <w:t>Justin Chakma</w:t>
            </w:r>
          </w:p>
        </w:tc>
        <w:tc>
          <w:tcPr>
            <w:tcW w:w="860" w:type="dxa"/>
            <w:vAlign w:val="bottom"/>
            <w:shd w:val="clear" w:color="auto" w:fill="E4EDF1"/>
          </w:tcPr>
          <w:p>
            <w:pPr>
              <w:jc w:val="right"/>
              <w:spacing w:after="0"/>
              <w:rPr>
                <w:sz w:val="20"/>
                <w:szCs w:val="20"/>
                <w:color w:val="auto"/>
              </w:rPr>
            </w:pPr>
            <w:r>
              <w:rPr>
                <w:rFonts w:ascii="Arial" w:cs="Arial" w:eastAsia="Arial" w:hAnsi="Arial"/>
                <w:sz w:val="14"/>
                <w:szCs w:val="14"/>
                <w:color w:val="auto"/>
              </w:rPr>
              <w:t>497,000</w:t>
            </w:r>
          </w:p>
        </w:tc>
        <w:tc>
          <w:tcPr>
            <w:tcW w:w="840" w:type="dxa"/>
            <w:vAlign w:val="bottom"/>
            <w:shd w:val="clear" w:color="auto" w:fill="E4EDF1"/>
          </w:tcPr>
          <w:p>
            <w:pPr>
              <w:jc w:val="center"/>
              <w:ind w:left="88"/>
              <w:spacing w:after="0"/>
              <w:rPr>
                <w:sz w:val="20"/>
                <w:szCs w:val="20"/>
                <w:color w:val="auto"/>
              </w:rPr>
            </w:pPr>
            <w:r>
              <w:rPr>
                <w:rFonts w:ascii="Arial" w:cs="Arial" w:eastAsia="Arial" w:hAnsi="Arial"/>
                <w:sz w:val="14"/>
                <w:szCs w:val="14"/>
                <w:color w:val="auto"/>
                <w:w w:val="99"/>
              </w:rPr>
              <w:t>40%</w:t>
            </w:r>
          </w:p>
        </w:tc>
        <w:tc>
          <w:tcPr>
            <w:tcW w:w="920" w:type="dxa"/>
            <w:vAlign w:val="bottom"/>
            <w:shd w:val="clear" w:color="auto" w:fill="E4EDF1"/>
          </w:tcPr>
          <w:p>
            <w:pPr>
              <w:jc w:val="right"/>
              <w:ind w:right="28"/>
              <w:spacing w:after="0"/>
              <w:rPr>
                <w:sz w:val="20"/>
                <w:szCs w:val="20"/>
                <w:color w:val="auto"/>
              </w:rPr>
            </w:pPr>
            <w:r>
              <w:rPr>
                <w:rFonts w:ascii="Arial" w:cs="Arial" w:eastAsia="Arial" w:hAnsi="Arial"/>
                <w:sz w:val="14"/>
                <w:szCs w:val="14"/>
                <w:color w:val="auto"/>
              </w:rPr>
              <w:t>198,800</w:t>
            </w:r>
          </w:p>
        </w:tc>
        <w:tc>
          <w:tcPr>
            <w:tcW w:w="840" w:type="dxa"/>
            <w:vAlign w:val="bottom"/>
            <w:shd w:val="clear" w:color="auto" w:fill="E4EDF1"/>
          </w:tcPr>
          <w:p>
            <w:pPr>
              <w:jc w:val="center"/>
              <w:spacing w:after="0"/>
              <w:rPr>
                <w:sz w:val="20"/>
                <w:szCs w:val="20"/>
                <w:color w:val="auto"/>
              </w:rPr>
            </w:pPr>
            <w:r>
              <w:rPr>
                <w:rFonts w:ascii="Arial" w:cs="Arial" w:eastAsia="Arial" w:hAnsi="Arial"/>
                <w:sz w:val="14"/>
                <w:szCs w:val="14"/>
                <w:color w:val="auto"/>
              </w:rPr>
              <w:t>75.0%</w:t>
            </w:r>
          </w:p>
        </w:tc>
        <w:tc>
          <w:tcPr>
            <w:tcW w:w="1020" w:type="dxa"/>
            <w:vAlign w:val="bottom"/>
            <w:shd w:val="clear" w:color="auto" w:fill="E4EDF1"/>
          </w:tcPr>
          <w:p>
            <w:pPr>
              <w:jc w:val="right"/>
              <w:ind w:right="188"/>
              <w:spacing w:after="0"/>
              <w:rPr>
                <w:sz w:val="20"/>
                <w:szCs w:val="20"/>
                <w:color w:val="auto"/>
              </w:rPr>
            </w:pPr>
            <w:r>
              <w:rPr>
                <w:rFonts w:ascii="Arial" w:cs="Arial" w:eastAsia="Arial" w:hAnsi="Arial"/>
                <w:sz w:val="14"/>
                <w:szCs w:val="14"/>
                <w:color w:val="auto"/>
              </w:rPr>
              <w:t>100.0%</w:t>
            </w:r>
          </w:p>
        </w:tc>
        <w:tc>
          <w:tcPr>
            <w:tcW w:w="1100" w:type="dxa"/>
            <w:vAlign w:val="bottom"/>
            <w:shd w:val="clear" w:color="auto" w:fill="E4EDF1"/>
          </w:tcPr>
          <w:p>
            <w:pPr>
              <w:jc w:val="center"/>
              <w:ind w:right="8"/>
              <w:spacing w:after="0"/>
              <w:rPr>
                <w:sz w:val="20"/>
                <w:szCs w:val="20"/>
                <w:color w:val="auto"/>
              </w:rPr>
            </w:pPr>
            <w:r>
              <w:rPr>
                <w:rFonts w:ascii="Arial" w:cs="Arial" w:eastAsia="Arial" w:hAnsi="Arial"/>
                <w:sz w:val="14"/>
                <w:szCs w:val="14"/>
                <w:color w:val="auto"/>
              </w:rPr>
              <w:t>82.5%</w:t>
            </w:r>
          </w:p>
        </w:tc>
        <w:tc>
          <w:tcPr>
            <w:tcW w:w="720" w:type="dxa"/>
            <w:vAlign w:val="bottom"/>
            <w:shd w:val="clear" w:color="auto" w:fill="E4EDF1"/>
          </w:tcPr>
          <w:p>
            <w:pPr>
              <w:jc w:val="right"/>
              <w:ind w:right="28"/>
              <w:spacing w:after="0"/>
              <w:rPr>
                <w:sz w:val="20"/>
                <w:szCs w:val="20"/>
                <w:color w:val="auto"/>
              </w:rPr>
            </w:pPr>
            <w:r>
              <w:rPr>
                <w:rFonts w:ascii="Arial" w:cs="Arial" w:eastAsia="Arial" w:hAnsi="Arial"/>
                <w:sz w:val="14"/>
                <w:szCs w:val="14"/>
                <w:color w:val="auto"/>
              </w:rPr>
              <w:t>164,000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-959485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Equity-Based Incentive Awards</w:t>
      </w:r>
    </w:p>
    <w:p>
      <w:pPr>
        <w:spacing w:after="0" w:line="106" w:lineRule="exact"/>
        <w:rPr>
          <w:sz w:val="20"/>
          <w:szCs w:val="20"/>
          <w:color w:val="auto"/>
        </w:rPr>
      </w:pPr>
    </w:p>
    <w:p>
      <w:pPr>
        <w:jc w:val="both"/>
        <w:ind w:left="300" w:right="299" w:firstLine="441"/>
        <w:spacing w:after="0" w:line="218" w:lineRule="exact"/>
        <w:rPr>
          <w:sz w:val="20"/>
          <w:szCs w:val="20"/>
          <w:color w:val="auto"/>
        </w:rPr>
      </w:pPr>
      <w:r>
        <w:rPr>
          <w:rFonts w:ascii="Arial" w:cs="Arial" w:eastAsia="Arial" w:hAnsi="Arial"/>
          <w:sz w:val="18"/>
          <w:szCs w:val="18"/>
          <w:color w:val="auto"/>
        </w:rPr>
        <w:t>Our long-term, equity-based incentive awards are designed to align the interests of our executive officers with the interests of our stockholders. We believe that if our executive officers own shares of our common stock with value that is significant to them, but which cannot be immediately realized, they will be motivated to focus on maximizing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 rather than short</w:t>
      </w:r>
      <w:r>
        <w:rPr>
          <w:rFonts w:ascii="MS PGothic" w:cs="MS PGothic" w:eastAsia="MS PGothic" w:hAnsi="MS PGothic"/>
          <w:sz w:val="18"/>
          <w:szCs w:val="18"/>
          <w:color w:val="auto"/>
        </w:rPr>
        <w:t>‑</w:t>
      </w:r>
      <w:r>
        <w:rPr>
          <w:rFonts w:ascii="Arial" w:cs="Arial" w:eastAsia="Arial" w:hAnsi="Arial"/>
          <w:sz w:val="18"/>
          <w:szCs w:val="18"/>
          <w:color w:val="auto"/>
        </w:rPr>
        <w:t>term results.</w:t>
      </w:r>
    </w:p>
    <w:p>
      <w:pPr>
        <w:spacing w:after="0" w:line="157"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Equity awards also play an important role in attracting and retaining our executive officers, senior management, and other key employees. Because vesting is generally subject to continued service over a period of several years following the date of grant, our equity-based incentives serve as a retention device. We generally provide initial equity-based incentive awards in connection with the commencement of employment of our executive officers as an inducement to join the Company, and we generally grant annual refresher equity-based incentive awards to our executive officers at or shortly following the end of each year, with each grant subject to multi-year vesting.</w:t>
      </w:r>
    </w:p>
    <w:p>
      <w:pPr>
        <w:spacing w:after="0" w:line="185"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In 2025, the Compensation Committee granted stock options to the NEOs as the sole equity vehicle. The stock option grants are intended to create a direct link between our executives’ compensation and stock price performance. Because the executive must pay a cash exercise price equal to the value of the stock on the date of grant, stock options only have value if our stock price increases following the option grant date. Our stock option awards are granted subject to vesting restrictions, so any potential gain is earned over a period of years during the executive officer’s continued service with us.</w:t>
      </w:r>
    </w:p>
    <w:p>
      <w:pPr>
        <w:spacing w:after="0" w:line="179"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In determining the number of options to grant, the Compensation Committee considered multiple factors, including the value of the award, the percentage of the Company represented by the award, the proportion of equity compensation relative to total direct compensation, the retentive value of the NEO’s outstanding unvested and aggregate equity holdings, the individual’s scope of responsibility, performance and contributions, prevailing equity compensation practices among the Company’s 2025 peer group, and the total annual and cumulative dilution resulting from current and prior equity grants.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49" w:name="page50"/>
    <w:bookmarkEnd w:id="49"/>
    <w:p>
      <w:pPr>
        <w:ind w:left="300" w:right="319" w:firstLine="441"/>
        <w:spacing w:after="0" w:line="271" w:lineRule="auto"/>
        <w:rPr>
          <w:sz w:val="20"/>
          <w:szCs w:val="20"/>
          <w:color w:val="auto"/>
        </w:rPr>
      </w:pPr>
      <w:r>
        <w:rPr>
          <w:rFonts w:ascii="Arial" w:cs="Arial" w:eastAsia="Arial" w:hAnsi="Arial"/>
          <w:sz w:val="18"/>
          <w:szCs w:val="18"/>
          <w:color w:val="auto"/>
        </w:rPr>
        <w:t>The following table summarizes the value recommended by our Compensation Committee and approved by our Board and the corresponding number of share options grants to our NEOs in 2025:</w:t>
      </w:r>
    </w:p>
    <w:p>
      <w:pPr>
        <w:spacing w:after="0" w:line="6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60" w:type="dxa"/>
            <w:vAlign w:val="bottom"/>
            <w:shd w:val="clear" w:color="auto" w:fill="0B4B73"/>
          </w:tcPr>
          <w:p>
            <w:pPr>
              <w:spacing w:after="0"/>
              <w:rPr>
                <w:sz w:val="14"/>
                <w:szCs w:val="14"/>
                <w:color w:val="auto"/>
              </w:rPr>
            </w:pPr>
          </w:p>
        </w:tc>
        <w:tc>
          <w:tcPr>
            <w:tcW w:w="2300" w:type="dxa"/>
            <w:vAlign w:val="bottom"/>
            <w:shd w:val="clear" w:color="auto" w:fill="0B4B73"/>
          </w:tcPr>
          <w:p>
            <w:pPr>
              <w:jc w:val="center"/>
              <w:ind w:right="84"/>
              <w:spacing w:after="0"/>
              <w:rPr>
                <w:sz w:val="20"/>
                <w:szCs w:val="20"/>
                <w:color w:val="auto"/>
              </w:rPr>
            </w:pPr>
            <w:r>
              <w:rPr>
                <w:rFonts w:ascii="Arial" w:cs="Arial" w:eastAsia="Arial" w:hAnsi="Arial"/>
                <w:sz w:val="14"/>
                <w:szCs w:val="14"/>
                <w:b w:val="1"/>
                <w:bCs w:val="1"/>
                <w:color w:val="FFFFFF"/>
              </w:rPr>
              <w:t>Stock Option</w:t>
            </w:r>
          </w:p>
        </w:tc>
        <w:tc>
          <w:tcPr>
            <w:tcW w:w="1860" w:type="dxa"/>
            <w:vAlign w:val="bottom"/>
            <w:shd w:val="clear" w:color="auto" w:fill="0B4B73"/>
          </w:tcPr>
          <w:p>
            <w:pPr>
              <w:jc w:val="center"/>
              <w:ind w:right="104"/>
              <w:spacing w:after="0"/>
              <w:rPr>
                <w:sz w:val="20"/>
                <w:szCs w:val="20"/>
                <w:color w:val="auto"/>
              </w:rPr>
            </w:pPr>
            <w:r>
              <w:rPr>
                <w:rFonts w:ascii="Arial" w:cs="Arial" w:eastAsia="Arial" w:hAnsi="Arial"/>
                <w:sz w:val="14"/>
                <w:szCs w:val="14"/>
                <w:b w:val="1"/>
                <w:bCs w:val="1"/>
                <w:color w:val="FFFFFF"/>
              </w:rPr>
              <w:t>Number of</w:t>
            </w:r>
          </w:p>
        </w:tc>
      </w:tr>
      <w:tr>
        <w:trPr>
          <w:trHeight w:val="135"/>
        </w:trPr>
        <w:tc>
          <w:tcPr>
            <w:tcW w:w="4260" w:type="dxa"/>
            <w:vAlign w:val="bottom"/>
            <w:shd w:val="clear" w:color="auto" w:fill="0B4B73"/>
          </w:tcPr>
          <w:p>
            <w:pPr>
              <w:spacing w:after="0"/>
              <w:rPr>
                <w:sz w:val="11"/>
                <w:szCs w:val="11"/>
                <w:color w:val="auto"/>
              </w:rPr>
            </w:pPr>
          </w:p>
        </w:tc>
        <w:tc>
          <w:tcPr>
            <w:tcW w:w="2300" w:type="dxa"/>
            <w:vAlign w:val="bottom"/>
            <w:shd w:val="clear" w:color="auto" w:fill="0B4B73"/>
          </w:tcPr>
          <w:p>
            <w:pPr>
              <w:jc w:val="center"/>
              <w:ind w:right="84"/>
              <w:spacing w:after="0" w:line="135" w:lineRule="exact"/>
              <w:rPr>
                <w:sz w:val="20"/>
                <w:szCs w:val="20"/>
                <w:color w:val="auto"/>
              </w:rPr>
            </w:pPr>
            <w:r>
              <w:rPr>
                <w:rFonts w:ascii="Arial" w:cs="Arial" w:eastAsia="Arial" w:hAnsi="Arial"/>
                <w:sz w:val="14"/>
                <w:szCs w:val="14"/>
                <w:b w:val="1"/>
                <w:bCs w:val="1"/>
                <w:color w:val="FFFFFF"/>
              </w:rPr>
              <w:t>Value</w:t>
            </w:r>
          </w:p>
        </w:tc>
        <w:tc>
          <w:tcPr>
            <w:tcW w:w="1860" w:type="dxa"/>
            <w:vAlign w:val="bottom"/>
            <w:shd w:val="clear" w:color="auto" w:fill="0B4B73"/>
          </w:tcPr>
          <w:p>
            <w:pPr>
              <w:jc w:val="center"/>
              <w:ind w:right="124"/>
              <w:spacing w:after="0" w:line="135" w:lineRule="exact"/>
              <w:rPr>
                <w:sz w:val="20"/>
                <w:szCs w:val="20"/>
                <w:color w:val="auto"/>
              </w:rPr>
            </w:pPr>
            <w:r>
              <w:rPr>
                <w:rFonts w:ascii="Arial" w:cs="Arial" w:eastAsia="Arial" w:hAnsi="Arial"/>
                <w:sz w:val="14"/>
                <w:szCs w:val="14"/>
                <w:b w:val="1"/>
                <w:bCs w:val="1"/>
                <w:color w:val="FFFFFF"/>
              </w:rPr>
              <w:t>Stock Options</w:t>
            </w:r>
          </w:p>
        </w:tc>
      </w:tr>
      <w:tr>
        <w:trPr>
          <w:trHeight w:val="210"/>
        </w:trPr>
        <w:tc>
          <w:tcPr>
            <w:tcW w:w="4260" w:type="dxa"/>
            <w:vAlign w:val="bottom"/>
            <w:tcBorders>
              <w:bottom w:val="single" w:sz="8" w:color="C3D041"/>
            </w:tcBorders>
            <w:shd w:val="clear" w:color="auto" w:fill="0B4B73"/>
          </w:tcPr>
          <w:p>
            <w:pPr>
              <w:ind w:left="1920"/>
              <w:spacing w:after="0"/>
              <w:rPr>
                <w:sz w:val="20"/>
                <w:szCs w:val="20"/>
                <w:color w:val="auto"/>
              </w:rPr>
            </w:pPr>
            <w:r>
              <w:rPr>
                <w:rFonts w:ascii="Arial" w:cs="Arial" w:eastAsia="Arial" w:hAnsi="Arial"/>
                <w:sz w:val="14"/>
                <w:szCs w:val="14"/>
                <w:b w:val="1"/>
                <w:bCs w:val="1"/>
                <w:color w:val="FFFFFF"/>
              </w:rPr>
              <w:t>Name</w:t>
            </w:r>
          </w:p>
        </w:tc>
        <w:tc>
          <w:tcPr>
            <w:tcW w:w="2300" w:type="dxa"/>
            <w:vAlign w:val="bottom"/>
            <w:tcBorders>
              <w:bottom w:val="single" w:sz="8" w:color="C3D041"/>
            </w:tcBorders>
            <w:shd w:val="clear" w:color="auto" w:fill="0B4B73"/>
          </w:tcPr>
          <w:p>
            <w:pPr>
              <w:jc w:val="center"/>
              <w:ind w:right="84"/>
              <w:spacing w:after="0" w:line="189" w:lineRule="exact"/>
              <w:rPr>
                <w:sz w:val="20"/>
                <w:szCs w:val="20"/>
                <w:color w:val="auto"/>
              </w:rPr>
            </w:pPr>
            <w:r>
              <w:rPr>
                <w:rFonts w:ascii="Arial" w:cs="Arial" w:eastAsia="Arial" w:hAnsi="Arial"/>
                <w:sz w:val="14"/>
                <w:szCs w:val="14"/>
                <w:b w:val="1"/>
                <w:bCs w:val="1"/>
                <w:color w:val="FFFFFF"/>
                <w:w w:val="91"/>
              </w:rPr>
              <w:t>($)</w:t>
            </w:r>
            <w:r>
              <w:rPr>
                <w:rFonts w:ascii="Arial" w:cs="Arial" w:eastAsia="Arial" w:hAnsi="Arial"/>
                <w:sz w:val="19"/>
                <w:szCs w:val="19"/>
                <w:b w:val="1"/>
                <w:bCs w:val="1"/>
                <w:color w:val="FFFFFF"/>
                <w:w w:val="91"/>
                <w:vertAlign w:val="superscript"/>
              </w:rPr>
              <w:t>(1)</w:t>
            </w:r>
          </w:p>
        </w:tc>
        <w:tc>
          <w:tcPr>
            <w:tcW w:w="1860" w:type="dxa"/>
            <w:vAlign w:val="bottom"/>
            <w:tcBorders>
              <w:bottom w:val="single" w:sz="8" w:color="C3D041"/>
            </w:tcBorders>
            <w:shd w:val="clear" w:color="auto" w:fill="0B4B73"/>
          </w:tcPr>
          <w:p>
            <w:pPr>
              <w:jc w:val="center"/>
              <w:ind w:right="124"/>
              <w:spacing w:after="0"/>
              <w:rPr>
                <w:sz w:val="20"/>
                <w:szCs w:val="20"/>
                <w:color w:val="auto"/>
              </w:rPr>
            </w:pPr>
            <w:r>
              <w:rPr>
                <w:rFonts w:ascii="Arial" w:cs="Arial" w:eastAsia="Arial" w:hAnsi="Arial"/>
                <w:sz w:val="14"/>
                <w:szCs w:val="14"/>
                <w:b w:val="1"/>
                <w:bCs w:val="1"/>
                <w:color w:val="FFFFFF"/>
              </w:rPr>
              <w:t>(#)</w:t>
            </w:r>
          </w:p>
        </w:tc>
      </w:tr>
      <w:tr>
        <w:trPr>
          <w:trHeight w:val="189"/>
        </w:trPr>
        <w:tc>
          <w:tcPr>
            <w:tcW w:w="4260" w:type="dxa"/>
            <w:vAlign w:val="bottom"/>
            <w:shd w:val="clear" w:color="auto" w:fill="E4EDF1"/>
          </w:tcPr>
          <w:p>
            <w:pPr>
              <w:spacing w:after="0"/>
              <w:rPr>
                <w:sz w:val="20"/>
                <w:szCs w:val="20"/>
                <w:color w:val="auto"/>
              </w:rPr>
            </w:pPr>
            <w:r>
              <w:rPr>
                <w:rFonts w:ascii="Arial" w:cs="Arial" w:eastAsia="Arial" w:hAnsi="Arial"/>
                <w:sz w:val="16"/>
                <w:szCs w:val="16"/>
                <w:color w:val="auto"/>
              </w:rPr>
              <w:t>Richard Lowenthal, M.S., MSEL</w:t>
            </w:r>
          </w:p>
        </w:tc>
        <w:tc>
          <w:tcPr>
            <w:tcW w:w="2300" w:type="dxa"/>
            <w:vAlign w:val="bottom"/>
            <w:shd w:val="clear" w:color="auto" w:fill="E4EDF1"/>
          </w:tcPr>
          <w:p>
            <w:pPr>
              <w:jc w:val="right"/>
              <w:ind w:right="264"/>
              <w:spacing w:after="0"/>
              <w:rPr>
                <w:sz w:val="20"/>
                <w:szCs w:val="20"/>
                <w:color w:val="auto"/>
              </w:rPr>
            </w:pPr>
            <w:r>
              <w:rPr>
                <w:rFonts w:ascii="Arial" w:cs="Arial" w:eastAsia="Arial" w:hAnsi="Arial"/>
                <w:sz w:val="16"/>
                <w:szCs w:val="16"/>
                <w:color w:val="auto"/>
              </w:rPr>
              <w:t>6,300,000</w:t>
            </w:r>
          </w:p>
        </w:tc>
        <w:tc>
          <w:tcPr>
            <w:tcW w:w="1860" w:type="dxa"/>
            <w:vAlign w:val="bottom"/>
            <w:shd w:val="clear" w:color="auto" w:fill="E4EDF1"/>
          </w:tcPr>
          <w:p>
            <w:pPr>
              <w:jc w:val="right"/>
              <w:ind w:right="44"/>
              <w:spacing w:after="0"/>
              <w:rPr>
                <w:sz w:val="20"/>
                <w:szCs w:val="20"/>
                <w:color w:val="auto"/>
              </w:rPr>
            </w:pPr>
            <w:r>
              <w:rPr>
                <w:rFonts w:ascii="Arial" w:cs="Arial" w:eastAsia="Arial" w:hAnsi="Arial"/>
                <w:sz w:val="16"/>
                <w:szCs w:val="16"/>
                <w:color w:val="auto"/>
              </w:rPr>
              <w:t>767,600</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Sarina Tanimoto, M.D., M.B.A.</w:t>
            </w:r>
          </w:p>
        </w:tc>
        <w:tc>
          <w:tcPr>
            <w:tcW w:w="2300" w:type="dxa"/>
            <w:vAlign w:val="bottom"/>
          </w:tcPr>
          <w:p>
            <w:pPr>
              <w:jc w:val="right"/>
              <w:ind w:right="264"/>
              <w:spacing w:after="0"/>
              <w:rPr>
                <w:sz w:val="20"/>
                <w:szCs w:val="20"/>
                <w:color w:val="auto"/>
              </w:rPr>
            </w:pPr>
            <w:r>
              <w:rPr>
                <w:rFonts w:ascii="Arial" w:cs="Arial" w:eastAsia="Arial" w:hAnsi="Arial"/>
                <w:sz w:val="16"/>
                <w:szCs w:val="16"/>
                <w:color w:val="auto"/>
              </w:rPr>
              <w:t>2,150,000</w:t>
            </w:r>
          </w:p>
        </w:tc>
        <w:tc>
          <w:tcPr>
            <w:tcW w:w="1860" w:type="dxa"/>
            <w:vAlign w:val="bottom"/>
          </w:tcPr>
          <w:p>
            <w:pPr>
              <w:jc w:val="right"/>
              <w:ind w:right="44"/>
              <w:spacing w:after="0"/>
              <w:rPr>
                <w:sz w:val="20"/>
                <w:szCs w:val="20"/>
                <w:color w:val="auto"/>
              </w:rPr>
            </w:pPr>
            <w:r>
              <w:rPr>
                <w:rFonts w:ascii="Arial" w:cs="Arial" w:eastAsia="Arial" w:hAnsi="Arial"/>
                <w:sz w:val="16"/>
                <w:szCs w:val="16"/>
                <w:color w:val="auto"/>
              </w:rPr>
              <w:t>261,900</w:t>
            </w:r>
          </w:p>
        </w:tc>
      </w:tr>
      <w:tr>
        <w:trPr>
          <w:trHeight w:val="189"/>
        </w:trPr>
        <w:tc>
          <w:tcPr>
            <w:tcW w:w="4260" w:type="dxa"/>
            <w:vAlign w:val="bottom"/>
            <w:shd w:val="clear" w:color="auto" w:fill="E4EDF1"/>
          </w:tcPr>
          <w:p>
            <w:pPr>
              <w:spacing w:after="0"/>
              <w:rPr>
                <w:sz w:val="20"/>
                <w:szCs w:val="20"/>
                <w:color w:val="auto"/>
              </w:rPr>
            </w:pPr>
            <w:r>
              <w:rPr>
                <w:rFonts w:ascii="Arial" w:cs="Arial" w:eastAsia="Arial" w:hAnsi="Arial"/>
                <w:sz w:val="16"/>
                <w:szCs w:val="16"/>
                <w:color w:val="auto"/>
              </w:rPr>
              <w:t>Justin Chakma</w:t>
            </w:r>
          </w:p>
        </w:tc>
        <w:tc>
          <w:tcPr>
            <w:tcW w:w="2300" w:type="dxa"/>
            <w:vAlign w:val="bottom"/>
            <w:shd w:val="clear" w:color="auto" w:fill="E4EDF1"/>
          </w:tcPr>
          <w:p>
            <w:pPr>
              <w:jc w:val="right"/>
              <w:ind w:right="264"/>
              <w:spacing w:after="0"/>
              <w:rPr>
                <w:sz w:val="20"/>
                <w:szCs w:val="20"/>
                <w:color w:val="auto"/>
              </w:rPr>
            </w:pPr>
            <w:r>
              <w:rPr>
                <w:rFonts w:ascii="Arial" w:cs="Arial" w:eastAsia="Arial" w:hAnsi="Arial"/>
                <w:sz w:val="16"/>
                <w:szCs w:val="16"/>
                <w:color w:val="auto"/>
              </w:rPr>
              <w:t>2,250,000</w:t>
            </w:r>
          </w:p>
        </w:tc>
        <w:tc>
          <w:tcPr>
            <w:tcW w:w="1860" w:type="dxa"/>
            <w:vAlign w:val="bottom"/>
            <w:shd w:val="clear" w:color="auto" w:fill="E4EDF1"/>
          </w:tcPr>
          <w:p>
            <w:pPr>
              <w:jc w:val="right"/>
              <w:ind w:right="44"/>
              <w:spacing w:after="0"/>
              <w:rPr>
                <w:sz w:val="20"/>
                <w:szCs w:val="20"/>
                <w:color w:val="auto"/>
              </w:rPr>
            </w:pPr>
            <w:r>
              <w:rPr>
                <w:rFonts w:ascii="Arial" w:cs="Arial" w:eastAsia="Arial" w:hAnsi="Arial"/>
                <w:sz w:val="16"/>
                <w:szCs w:val="16"/>
                <w:color w:val="auto"/>
              </w:rPr>
              <w:t>274,100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4" w:lineRule="exact"/>
        <w:rPr>
          <w:sz w:val="20"/>
          <w:szCs w:val="20"/>
          <w:color w:val="auto"/>
        </w:rPr>
      </w:pPr>
    </w:p>
    <w:p>
      <w:pPr>
        <w:jc w:val="both"/>
        <w:ind w:left="740" w:right="319" w:hanging="448"/>
        <w:spacing w:after="0" w:line="263" w:lineRule="auto"/>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value of the stock options differs from the grant date fair value of these awards as reflected in the Summary Compensation Table because of the SEC-required accounting methodology used to report the equity values in the Summary Compensation Table.</w:t>
      </w:r>
    </w:p>
    <w:p>
      <w:pPr>
        <w:spacing w:after="0" w:line="163"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All stock options are granted with an exercise price per share that is at least the fair market value of our common stock on the date of grant of such award. Our stock option awards generally vest over a four-year period and may be subject to acceleration of vesting and exercisability under certain termination and change in control events, as described in more detail under the subsection titled “Potential Payments Upon Termination or Change in Control.”</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Other Compensation and Benefits</w:t>
      </w:r>
    </w:p>
    <w:p>
      <w:pPr>
        <w:spacing w:after="0" w:line="106"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All of our NEOs are eligible to participate in our employee benefit plans, including our medical, dental, vision and life plans, in each case on the same basis as all of our other employees. We pay the premiums for the life, disability, accidental death, and dismemberment insurance for all of our employees, including our NEOs. We generally do not provide perquisites or personal benefits to our NEOs.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401(k) Plan</w:t>
      </w:r>
    </w:p>
    <w:p>
      <w:pPr>
        <w:spacing w:after="0" w:line="106"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defer eligible compensation up to certain internal revenue code limits, which are updated annually. We have the ability to make matching and discretionary contributions to the 401(k) plan. We match 100% of contributions up to 5% of an employee’s eligible compensation. Currently, we do not make discretionary contributions to the 401(k) plan.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Employment, Severance, and Change in Control Agreements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Employment Agreements</w:t>
      </w:r>
    </w:p>
    <w:p>
      <w:pPr>
        <w:spacing w:after="0" w:line="106"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We entered into employment agreements with each of our NEOs prior to becoming a publicly traded company in 2022 that provide for the payment of base salary, eligibility for employee benefit programs and potential severance benefits.</w:t>
      </w:r>
    </w:p>
    <w:p>
      <w:pPr>
        <w:spacing w:after="0" w:line="169"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The respective employment agreements with Mr. Lowenthal and Dr. Tanimoto (each an “executive”) provide that, subject to the executive’s execution of a release of claims, if the executive’s employment is terminated by us without “Cause” (other than as a result of death or disability) or the executive resigns for “Good Reason” (each, as defined in the executive’s employment agreement), the executive will be entitled to receive: (i) continued payment of the executive’s final base salary for 12 months, (ii) premiums for the executive’s COBRA continuation health coverage for up to 12 months, and (iii) accelerated vesting of the outstanding unvested stock awards granted to the executive in an amount equal to the number of shares that would have vested had the executive remained employed by us for 12 months following termination or resignation.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0" w:name="page51"/>
    <w:bookmarkEnd w:id="50"/>
    <w:p>
      <w:pPr>
        <w:jc w:val="both"/>
        <w:ind w:left="300" w:right="299" w:firstLine="441"/>
        <w:spacing w:after="0" w:line="242" w:lineRule="auto"/>
        <w:rPr>
          <w:sz w:val="20"/>
          <w:szCs w:val="20"/>
          <w:color w:val="auto"/>
        </w:rPr>
      </w:pPr>
      <w:r>
        <w:rPr>
          <w:rFonts w:ascii="Arial" w:cs="Arial" w:eastAsia="Arial" w:hAnsi="Arial"/>
          <w:sz w:val="18"/>
          <w:szCs w:val="18"/>
          <w:color w:val="auto"/>
        </w:rPr>
        <w:t>The employment agreement with Mr. Chakma provides that, subject to his execution of a release of claims, if his employment is terminated by us without “Cause” (other than as a result of death or disability) or he resigns for “Good Reason” (each as defined in the agreement), he will be entitled to receive: (i) continued payment of his final base salary for three months, and (ii) payment of COBRA premiums for up to six months (or taxable cash payments in lieu of such premiums if direct payment would result in penalties).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0B4B73"/>
        </w:rPr>
        <w:t>Potential Payments Upon Termination or Change in Control</w:t>
      </w:r>
    </w:p>
    <w:p>
      <w:pPr>
        <w:spacing w:after="0" w:line="106" w:lineRule="exact"/>
        <w:rPr>
          <w:sz w:val="20"/>
          <w:szCs w:val="20"/>
          <w:color w:val="auto"/>
        </w:rPr>
      </w:pPr>
    </w:p>
    <w:p>
      <w:pPr>
        <w:jc w:val="both"/>
        <w:ind w:left="300" w:right="319" w:firstLine="441"/>
        <w:spacing w:after="0" w:line="253" w:lineRule="auto"/>
        <w:rPr>
          <w:sz w:val="20"/>
          <w:szCs w:val="20"/>
          <w:color w:val="auto"/>
        </w:rPr>
      </w:pPr>
      <w:r>
        <w:rPr>
          <w:rFonts w:ascii="Arial" w:cs="Arial" w:eastAsia="Arial" w:hAnsi="Arial"/>
          <w:sz w:val="18"/>
          <w:szCs w:val="18"/>
          <w:color w:val="auto"/>
        </w:rPr>
        <w:t>Regardless of the manner in which a NEOs service terminates, each NEO is entitled to receive amounts previously earned during his or her term of service, including accrued and unpaid salary and unused vacation pay, as applicable.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B4B73"/>
        </w:rPr>
        <w:t>Change in Control and Severance Benefit Plan</w:t>
      </w:r>
    </w:p>
    <w:p>
      <w:pPr>
        <w:spacing w:after="0" w:line="102"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We maintain the ARS Pharmaceuticals, Inc. Change in Control and Severance Benefit Plan (the “Severance Plan”). The Severance Plan and the individual agreement with each participant in the Severance Plan, or the participation agreement, provide for severance benefits, including in connection with a “change in control” (as defined in the Severance Plan), for certain of our employees, including our executive officers, subject to execution and effectiveness of a release of claims. Except as otherwise provided in an individual participation agreement, the Severance Plan supersedes any change in control or severance benefit plan, policy or practice previously maintained by us, including any severance benefits set forth in any individually negotiated employment contract or agreement between us and an employee, unless such employment contract or agreement provides for benefits that are in substance more favorable to the employee.</w:t>
      </w:r>
    </w:p>
    <w:p>
      <w:pPr>
        <w:spacing w:after="0" w:line="180"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color w:val="auto"/>
        </w:rPr>
        <w:t>The Severance Plan and the participation agreements with our executive officers provide that, in the event of an involuntary termination, which is either a termination without “cause” (not including death or “disability”) or a resignation for “good reason” (each, as defined in the Severance Plan), that occurs during the time period commencing three months prior to the closing of a change in control and ending 12 months following the closing of such change in control (such a termination, a “change in control termination” and such period, the “change in control period”), (i) Mr. Lowenthal will be entitled to a lump sum cash payment equal to 24 months of the executive officer’s base salary, a lump sum cash payment equal to 200% of the executive officer’s annual target cash bonus for the year in which the executive officer’s termination occurs, a lump sum cash payment equal to a prorated portion of the executive officer’s target annual cash bonus for the year in which the executive officer’s termination occurs, up to 18 months of continued group health plan benefits, and a lump sum payment in an amount equal to the premiums required to continue the executive officer’s group health plan benefits for an additional six months; and (ii) our other executive officers will each be entitled to a lump sum cash payment equal to 18 months of the executive officer’s base salary, 150% of the executive officer’s annual target cash bonus for the year in which the executive officer’s termination occurs, a lump sum cash payment equal to a prorated portion of the executive officer’s target annual cash bonus for the year in which the executive officer’s termination occurs, up to 18 months of continued group health plan benefits, and accelerated vesting of all outstanding stock options and other stock awards held by the executive officer.</w:t>
      </w:r>
    </w:p>
    <w:p>
      <w:pPr>
        <w:spacing w:after="0" w:line="182"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In addition, the Severance Plan and participation agreements with our executive officers provide that, in the event of an involuntary termination that occurs outside of the change in control period, (i) Mr. Lowenthal will be entitled to continued payment of the executive officer’s base salary for a period of 12 months and up to 12 months of continued group health plan benefits; and (ii) our other executive officers will each be entitled to continued payment of the executive officer’s base salary for a period of nine months and up to nine months of continued group health plan benefits. Notwithstanding the foregoing, pursuant to Dr. Tanimoto’s executive employment agreement described in “Executive Employment Agreements” above, Dr. Tanimoto shall be entitled to continued payment of her base salary for a period of 12 months and up to 12 months of continued group health plan benefits.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1" w:name="page52"/>
    <w:bookmarkEnd w:id="51"/>
    <w:p>
      <w:pPr>
        <w:jc w:val="both"/>
        <w:ind w:left="300" w:right="299" w:firstLine="441"/>
        <w:spacing w:after="0" w:line="239" w:lineRule="auto"/>
        <w:rPr>
          <w:sz w:val="20"/>
          <w:szCs w:val="20"/>
          <w:color w:val="auto"/>
        </w:rPr>
      </w:pPr>
      <w:r>
        <w:rPr>
          <w:rFonts w:ascii="Arial" w:cs="Arial" w:eastAsia="Arial" w:hAnsi="Arial"/>
          <w:sz w:val="18"/>
          <w:szCs w:val="18"/>
          <w:color w:val="auto"/>
        </w:rPr>
        <w:t>We believe that these severance benefits are an important element of our executive compensation and retention program, which has particular importance in the context of a corporate transaction because providing change in control related severance benefits also should eliminate, or at least reduce, the reluctance of our executive officers to diligently consider and pursue potential transactions that may be in the best interests of our stockholders. We also believe that our severance benefit arrangements with our NEOs are consistent with compensation arrangements provided in a competitive market for executive talent and the events triggering payment represent appropriate hurdles for the severance benefits. We further believe that the benefits of such severance arrangements, including generally requiring release of claims against us as a condition to receiving the severance benefits, are in the best interests of the Company.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Compensation Recovery Policies</w:t>
      </w:r>
    </w:p>
    <w:p>
      <w:pPr>
        <w:spacing w:after="0" w:line="123"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The SEC and the Nasdaq recently adopted final rules implementing the incentive-based compensation recovery provisions of the Dodd-Frank Wall Street Reform and Consumer Protection Act, which require listed companies to develop and implement a policy providing for the recovery of erroneously awarded incentive-based compensation received by current or former executive officers. In October 2023 and in accordance with these final rules, the Compensation Committee approved an Incentive Compensation Recoupment Policy (the “Clawback Policy”) that provides for recoupment of certain cash and equity-based incentive compensation paid to current and former executive officers of the Company in the event of an accounting restatement of the Company’s financial statements. The Clawback Policy applies to all incentive compensation that is received by a covered officer on or after October 2, 2023. For more information, see the full text of our Clawback Policy, which is filed as an exhibit to our Annual Report on Form 10-K for our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2" w:name="page53"/>
    <w:bookmarkEnd w:id="52"/>
    <w:p>
      <w:pPr>
        <w:spacing w:after="0" w:line="29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Summary Compensation Table</w:t>
      </w:r>
    </w:p>
    <w:p>
      <w:pPr>
        <w:spacing w:after="0" w:line="123" w:lineRule="exact"/>
        <w:rPr>
          <w:sz w:val="20"/>
          <w:szCs w:val="20"/>
          <w:color w:val="auto"/>
        </w:rPr>
      </w:pPr>
    </w:p>
    <w:p>
      <w:pPr>
        <w:ind w:left="300" w:right="299" w:firstLine="441"/>
        <w:spacing w:after="0" w:line="271"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fiscal years ended December 31, 2025 and 2024.</w:t>
      </w:r>
    </w:p>
    <w:p>
      <w:pPr>
        <w:spacing w:after="0" w:line="6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520" w:type="dxa"/>
            <w:vAlign w:val="bottom"/>
            <w:shd w:val="clear" w:color="auto" w:fill="0B4B73"/>
          </w:tcPr>
          <w:p>
            <w:pPr>
              <w:spacing w:after="0"/>
              <w:rPr>
                <w:sz w:val="14"/>
                <w:szCs w:val="14"/>
                <w:color w:val="auto"/>
              </w:rPr>
            </w:pPr>
          </w:p>
        </w:tc>
        <w:tc>
          <w:tcPr>
            <w:tcW w:w="620" w:type="dxa"/>
            <w:vAlign w:val="bottom"/>
            <w:shd w:val="clear" w:color="auto" w:fill="0B4B73"/>
          </w:tcPr>
          <w:p>
            <w:pPr>
              <w:spacing w:after="0"/>
              <w:rPr>
                <w:sz w:val="14"/>
                <w:szCs w:val="14"/>
                <w:color w:val="auto"/>
              </w:rPr>
            </w:pPr>
          </w:p>
        </w:tc>
        <w:tc>
          <w:tcPr>
            <w:tcW w:w="960" w:type="dxa"/>
            <w:vAlign w:val="bottom"/>
            <w:shd w:val="clear" w:color="auto" w:fill="0B4B73"/>
          </w:tcPr>
          <w:p>
            <w:pPr>
              <w:spacing w:after="0"/>
              <w:rPr>
                <w:sz w:val="14"/>
                <w:szCs w:val="14"/>
                <w:color w:val="auto"/>
              </w:rPr>
            </w:pPr>
          </w:p>
        </w:tc>
        <w:tc>
          <w:tcPr>
            <w:tcW w:w="920" w:type="dxa"/>
            <w:vAlign w:val="bottom"/>
            <w:shd w:val="clear" w:color="auto" w:fill="0B4B73"/>
          </w:tcPr>
          <w:p>
            <w:pPr>
              <w:spacing w:after="0"/>
              <w:rPr>
                <w:sz w:val="14"/>
                <w:szCs w:val="14"/>
                <w:color w:val="auto"/>
              </w:rPr>
            </w:pPr>
          </w:p>
        </w:tc>
        <w:tc>
          <w:tcPr>
            <w:tcW w:w="11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Non-Equity</w:t>
            </w:r>
          </w:p>
        </w:tc>
        <w:tc>
          <w:tcPr>
            <w:tcW w:w="1140" w:type="dxa"/>
            <w:vAlign w:val="bottom"/>
            <w:shd w:val="clear" w:color="auto" w:fill="0B4B73"/>
          </w:tcPr>
          <w:p>
            <w:pPr>
              <w:spacing w:after="0"/>
              <w:rPr>
                <w:sz w:val="14"/>
                <w:szCs w:val="14"/>
                <w:color w:val="auto"/>
              </w:rPr>
            </w:pPr>
          </w:p>
        </w:tc>
        <w:tc>
          <w:tcPr>
            <w:tcW w:w="260" w:type="dxa"/>
            <w:vAlign w:val="bottom"/>
            <w:shd w:val="clear" w:color="auto" w:fill="0B4B73"/>
          </w:tcPr>
          <w:p>
            <w:pPr>
              <w:spacing w:after="0"/>
              <w:rPr>
                <w:sz w:val="14"/>
                <w:szCs w:val="14"/>
                <w:color w:val="auto"/>
              </w:rPr>
            </w:pPr>
          </w:p>
        </w:tc>
        <w:tc>
          <w:tcPr>
            <w:tcW w:w="840" w:type="dxa"/>
            <w:vAlign w:val="bottom"/>
            <w:shd w:val="clear" w:color="auto" w:fill="0B4B73"/>
          </w:tcPr>
          <w:p>
            <w:pPr>
              <w:spacing w:after="0"/>
              <w:rPr>
                <w:sz w:val="14"/>
                <w:szCs w:val="14"/>
                <w:color w:val="auto"/>
              </w:rPr>
            </w:pPr>
          </w:p>
        </w:tc>
      </w:tr>
      <w:tr>
        <w:trPr>
          <w:trHeight w:val="162"/>
        </w:trPr>
        <w:tc>
          <w:tcPr>
            <w:tcW w:w="2520" w:type="dxa"/>
            <w:vAlign w:val="bottom"/>
            <w:shd w:val="clear" w:color="auto" w:fill="0B4B73"/>
          </w:tcPr>
          <w:p>
            <w:pPr>
              <w:spacing w:after="0"/>
              <w:rPr>
                <w:sz w:val="14"/>
                <w:szCs w:val="14"/>
                <w:color w:val="auto"/>
              </w:rPr>
            </w:pPr>
          </w:p>
        </w:tc>
        <w:tc>
          <w:tcPr>
            <w:tcW w:w="620" w:type="dxa"/>
            <w:vAlign w:val="bottom"/>
            <w:shd w:val="clear" w:color="auto" w:fill="0B4B73"/>
          </w:tcPr>
          <w:p>
            <w:pPr>
              <w:spacing w:after="0"/>
              <w:rPr>
                <w:sz w:val="14"/>
                <w:szCs w:val="14"/>
                <w:color w:val="auto"/>
              </w:rPr>
            </w:pPr>
          </w:p>
        </w:tc>
        <w:tc>
          <w:tcPr>
            <w:tcW w:w="960" w:type="dxa"/>
            <w:vAlign w:val="bottom"/>
            <w:shd w:val="clear" w:color="auto" w:fill="0B4B73"/>
          </w:tcPr>
          <w:p>
            <w:pPr>
              <w:spacing w:after="0"/>
              <w:rPr>
                <w:sz w:val="14"/>
                <w:szCs w:val="14"/>
                <w:color w:val="auto"/>
              </w:rPr>
            </w:pPr>
          </w:p>
        </w:tc>
        <w:tc>
          <w:tcPr>
            <w:tcW w:w="920" w:type="dxa"/>
            <w:vAlign w:val="bottom"/>
            <w:shd w:val="clear" w:color="auto" w:fill="0B4B73"/>
          </w:tcPr>
          <w:p>
            <w:pPr>
              <w:ind w:left="200"/>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All Other</w:t>
            </w:r>
          </w:p>
        </w:tc>
        <w:tc>
          <w:tcPr>
            <w:tcW w:w="260" w:type="dxa"/>
            <w:vAlign w:val="bottom"/>
            <w:shd w:val="clear" w:color="auto" w:fill="0B4B73"/>
          </w:tcPr>
          <w:p>
            <w:pPr>
              <w:spacing w:after="0"/>
              <w:rPr>
                <w:sz w:val="14"/>
                <w:szCs w:val="14"/>
                <w:color w:val="auto"/>
              </w:rPr>
            </w:pPr>
          </w:p>
        </w:tc>
        <w:tc>
          <w:tcPr>
            <w:tcW w:w="840" w:type="dxa"/>
            <w:vAlign w:val="bottom"/>
            <w:shd w:val="clear" w:color="auto" w:fill="0B4B73"/>
          </w:tcPr>
          <w:p>
            <w:pPr>
              <w:spacing w:after="0"/>
              <w:rPr>
                <w:sz w:val="14"/>
                <w:szCs w:val="14"/>
                <w:color w:val="auto"/>
              </w:rPr>
            </w:pPr>
          </w:p>
        </w:tc>
      </w:tr>
      <w:tr>
        <w:trPr>
          <w:trHeight w:val="135"/>
        </w:trPr>
        <w:tc>
          <w:tcPr>
            <w:tcW w:w="2520" w:type="dxa"/>
            <w:vAlign w:val="bottom"/>
            <w:shd w:val="clear" w:color="auto" w:fill="0B4B73"/>
          </w:tcPr>
          <w:p>
            <w:pPr>
              <w:spacing w:after="0"/>
              <w:rPr>
                <w:sz w:val="11"/>
                <w:szCs w:val="11"/>
                <w:color w:val="auto"/>
              </w:rPr>
            </w:pPr>
          </w:p>
        </w:tc>
        <w:tc>
          <w:tcPr>
            <w:tcW w:w="620" w:type="dxa"/>
            <w:vAlign w:val="bottom"/>
            <w:shd w:val="clear" w:color="auto" w:fill="0B4B73"/>
          </w:tcPr>
          <w:p>
            <w:pPr>
              <w:jc w:val="center"/>
              <w:ind w:left="28"/>
              <w:spacing w:after="0" w:line="135" w:lineRule="exact"/>
              <w:rPr>
                <w:sz w:val="20"/>
                <w:szCs w:val="20"/>
                <w:color w:val="auto"/>
              </w:rPr>
            </w:pPr>
            <w:r>
              <w:rPr>
                <w:rFonts w:ascii="Arial" w:cs="Arial" w:eastAsia="Arial" w:hAnsi="Arial"/>
                <w:sz w:val="14"/>
                <w:szCs w:val="14"/>
                <w:b w:val="1"/>
                <w:bCs w:val="1"/>
                <w:color w:val="FFFFFF"/>
              </w:rPr>
              <w:t>Fiscal</w:t>
            </w:r>
          </w:p>
        </w:tc>
        <w:tc>
          <w:tcPr>
            <w:tcW w:w="960" w:type="dxa"/>
            <w:vAlign w:val="bottom"/>
            <w:shd w:val="clear" w:color="auto" w:fill="0B4B73"/>
          </w:tcPr>
          <w:p>
            <w:pPr>
              <w:jc w:val="right"/>
              <w:ind w:right="228"/>
              <w:spacing w:after="0" w:line="135" w:lineRule="exact"/>
              <w:rPr>
                <w:sz w:val="20"/>
                <w:szCs w:val="20"/>
                <w:color w:val="auto"/>
              </w:rPr>
            </w:pPr>
            <w:r>
              <w:rPr>
                <w:rFonts w:ascii="Arial" w:cs="Arial" w:eastAsia="Arial" w:hAnsi="Arial"/>
                <w:sz w:val="14"/>
                <w:szCs w:val="14"/>
                <w:b w:val="1"/>
                <w:bCs w:val="1"/>
                <w:color w:val="FFFFFF"/>
              </w:rPr>
              <w:t>Salary</w:t>
            </w:r>
          </w:p>
        </w:tc>
        <w:tc>
          <w:tcPr>
            <w:tcW w:w="920" w:type="dxa"/>
            <w:vAlign w:val="bottom"/>
            <w:shd w:val="clear" w:color="auto" w:fill="0B4B73"/>
          </w:tcPr>
          <w:p>
            <w:pPr>
              <w:ind w:left="160"/>
              <w:spacing w:after="0" w:line="135" w:lineRule="exact"/>
              <w:rPr>
                <w:sz w:val="20"/>
                <w:szCs w:val="20"/>
                <w:color w:val="auto"/>
              </w:rPr>
            </w:pPr>
            <w:r>
              <w:rPr>
                <w:rFonts w:ascii="Arial" w:cs="Arial" w:eastAsia="Arial" w:hAnsi="Arial"/>
                <w:sz w:val="14"/>
                <w:szCs w:val="14"/>
                <w:b w:val="1"/>
                <w:bCs w:val="1"/>
                <w:color w:val="FFFFFF"/>
              </w:rPr>
              <w:t>Awards</w:t>
            </w:r>
          </w:p>
        </w:tc>
        <w:tc>
          <w:tcPr>
            <w:tcW w:w="1160" w:type="dxa"/>
            <w:vAlign w:val="bottom"/>
            <w:shd w:val="clear" w:color="auto" w:fill="0B4B73"/>
          </w:tcPr>
          <w:p>
            <w:pPr>
              <w:jc w:val="right"/>
              <w:ind w:right="8"/>
              <w:spacing w:after="0" w:line="135"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Compensation</w:t>
            </w:r>
          </w:p>
        </w:tc>
        <w:tc>
          <w:tcPr>
            <w:tcW w:w="260" w:type="dxa"/>
            <w:vAlign w:val="bottom"/>
            <w:shd w:val="clear" w:color="auto" w:fill="0B4B73"/>
          </w:tcPr>
          <w:p>
            <w:pPr>
              <w:spacing w:after="0"/>
              <w:rPr>
                <w:sz w:val="11"/>
                <w:szCs w:val="11"/>
                <w:color w:val="auto"/>
              </w:rPr>
            </w:pPr>
          </w:p>
        </w:tc>
        <w:tc>
          <w:tcPr>
            <w:tcW w:w="840" w:type="dxa"/>
            <w:vAlign w:val="bottom"/>
            <w:shd w:val="clear" w:color="auto" w:fill="0B4B73"/>
          </w:tcPr>
          <w:p>
            <w:pPr>
              <w:jc w:val="right"/>
              <w:ind w:right="268"/>
              <w:spacing w:after="0" w:line="135" w:lineRule="exact"/>
              <w:rPr>
                <w:sz w:val="20"/>
                <w:szCs w:val="20"/>
                <w:color w:val="auto"/>
              </w:rPr>
            </w:pPr>
            <w:r>
              <w:rPr>
                <w:rFonts w:ascii="Arial" w:cs="Arial" w:eastAsia="Arial" w:hAnsi="Arial"/>
                <w:sz w:val="14"/>
                <w:szCs w:val="14"/>
                <w:b w:val="1"/>
                <w:bCs w:val="1"/>
                <w:color w:val="FFFFFF"/>
              </w:rPr>
              <w:t>Total</w:t>
            </w:r>
          </w:p>
        </w:tc>
      </w:tr>
      <w:tr>
        <w:trPr>
          <w:trHeight w:val="209"/>
        </w:trPr>
        <w:tc>
          <w:tcPr>
            <w:tcW w:w="2520" w:type="dxa"/>
            <w:vAlign w:val="bottom"/>
            <w:tcBorders>
              <w:bottom w:val="single" w:sz="8" w:color="C3D041"/>
            </w:tcBorders>
            <w:shd w:val="clear" w:color="auto" w:fill="0B4B73"/>
          </w:tcPr>
          <w:p>
            <w:pPr>
              <w:ind w:left="280"/>
              <w:spacing w:after="0"/>
              <w:rPr>
                <w:sz w:val="20"/>
                <w:szCs w:val="20"/>
                <w:color w:val="auto"/>
              </w:rPr>
            </w:pPr>
            <w:r>
              <w:rPr>
                <w:rFonts w:ascii="Arial" w:cs="Arial" w:eastAsia="Arial" w:hAnsi="Arial"/>
                <w:sz w:val="14"/>
                <w:szCs w:val="14"/>
                <w:b w:val="1"/>
                <w:bCs w:val="1"/>
                <w:color w:val="FFFFFF"/>
              </w:rPr>
              <w:t>Name and Principal Position</w:t>
            </w:r>
          </w:p>
        </w:tc>
        <w:tc>
          <w:tcPr>
            <w:tcW w:w="620" w:type="dxa"/>
            <w:vAlign w:val="bottom"/>
            <w:tcBorders>
              <w:bottom w:val="single" w:sz="8" w:color="C3D041"/>
            </w:tcBorders>
            <w:shd w:val="clear" w:color="auto" w:fill="0B4B73"/>
          </w:tcPr>
          <w:p>
            <w:pPr>
              <w:jc w:val="center"/>
              <w:ind w:left="28"/>
              <w:spacing w:after="0"/>
              <w:rPr>
                <w:sz w:val="20"/>
                <w:szCs w:val="20"/>
                <w:color w:val="auto"/>
              </w:rPr>
            </w:pPr>
            <w:r>
              <w:rPr>
                <w:rFonts w:ascii="Arial" w:cs="Arial" w:eastAsia="Arial" w:hAnsi="Arial"/>
                <w:sz w:val="14"/>
                <w:szCs w:val="14"/>
                <w:b w:val="1"/>
                <w:bCs w:val="1"/>
                <w:color w:val="FFFFFF"/>
              </w:rPr>
              <w:t>Year</w:t>
            </w:r>
          </w:p>
        </w:tc>
        <w:tc>
          <w:tcPr>
            <w:tcW w:w="960" w:type="dxa"/>
            <w:vAlign w:val="bottom"/>
            <w:tcBorders>
              <w:bottom w:val="single" w:sz="8" w:color="C3D041"/>
            </w:tcBorders>
            <w:shd w:val="clear" w:color="auto" w:fill="0B4B73"/>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C3D041"/>
            </w:tcBorders>
            <w:shd w:val="clear" w:color="auto" w:fill="0B4B73"/>
          </w:tcPr>
          <w:p>
            <w:pPr>
              <w:ind w:left="280"/>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(1)</w:t>
            </w:r>
          </w:p>
        </w:tc>
        <w:tc>
          <w:tcPr>
            <w:tcW w:w="1160" w:type="dxa"/>
            <w:vAlign w:val="bottom"/>
            <w:tcBorders>
              <w:bottom w:val="single" w:sz="8" w:color="C3D041"/>
            </w:tcBorders>
            <w:shd w:val="clear" w:color="auto" w:fill="0B4B73"/>
          </w:tcPr>
          <w:p>
            <w:pPr>
              <w:jc w:val="center"/>
              <w:spacing w:after="0" w:line="189" w:lineRule="exact"/>
              <w:rPr>
                <w:sz w:val="20"/>
                <w:szCs w:val="20"/>
                <w:color w:val="auto"/>
              </w:rPr>
            </w:pPr>
            <w:r>
              <w:rPr>
                <w:rFonts w:ascii="Arial" w:cs="Arial" w:eastAsia="Arial" w:hAnsi="Arial"/>
                <w:sz w:val="14"/>
                <w:szCs w:val="14"/>
                <w:b w:val="1"/>
                <w:bCs w:val="1"/>
                <w:color w:val="FFFFFF"/>
                <w:w w:val="91"/>
              </w:rPr>
              <w:t>($)</w:t>
            </w:r>
            <w:r>
              <w:rPr>
                <w:rFonts w:ascii="Arial" w:cs="Arial" w:eastAsia="Arial" w:hAnsi="Arial"/>
                <w:sz w:val="19"/>
                <w:szCs w:val="19"/>
                <w:b w:val="1"/>
                <w:bCs w:val="1"/>
                <w:color w:val="FFFFFF"/>
                <w:w w:val="91"/>
                <w:vertAlign w:val="superscript"/>
              </w:rPr>
              <w:t>(2)</w:t>
            </w:r>
          </w:p>
        </w:tc>
        <w:tc>
          <w:tcPr>
            <w:tcW w:w="114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C3D041"/>
            </w:tcBorders>
            <w:shd w:val="clear" w:color="auto" w:fill="0B4B73"/>
          </w:tcPr>
          <w:p>
            <w:pPr>
              <w:spacing w:after="0"/>
              <w:rPr>
                <w:sz w:val="18"/>
                <w:szCs w:val="18"/>
                <w:color w:val="auto"/>
              </w:rPr>
            </w:pPr>
          </w:p>
        </w:tc>
        <w:tc>
          <w:tcPr>
            <w:tcW w:w="840" w:type="dxa"/>
            <w:vAlign w:val="bottom"/>
            <w:tcBorders>
              <w:bottom w:val="single" w:sz="8" w:color="C3D041"/>
            </w:tcBorders>
            <w:shd w:val="clear" w:color="auto" w:fill="0B4B73"/>
          </w:tcPr>
          <w:p>
            <w:pPr>
              <w:jc w:val="right"/>
              <w:ind w:right="348"/>
              <w:spacing w:after="0"/>
              <w:rPr>
                <w:sz w:val="20"/>
                <w:szCs w:val="20"/>
                <w:color w:val="auto"/>
              </w:rPr>
            </w:pPr>
            <w:r>
              <w:rPr>
                <w:rFonts w:ascii="Arial" w:cs="Arial" w:eastAsia="Arial" w:hAnsi="Arial"/>
                <w:sz w:val="14"/>
                <w:szCs w:val="14"/>
                <w:b w:val="1"/>
                <w:bCs w:val="1"/>
                <w:color w:val="FFFFFF"/>
              </w:rPr>
              <w:t>($)</w:t>
            </w:r>
          </w:p>
        </w:tc>
      </w:tr>
      <w:tr>
        <w:trPr>
          <w:trHeight w:val="135"/>
        </w:trPr>
        <w:tc>
          <w:tcPr>
            <w:tcW w:w="2520" w:type="dxa"/>
            <w:vAlign w:val="bottom"/>
            <w:shd w:val="clear" w:color="auto" w:fill="E4EDF1"/>
          </w:tcPr>
          <w:p>
            <w:pPr>
              <w:spacing w:after="0" w:line="135" w:lineRule="exact"/>
              <w:rPr>
                <w:sz w:val="20"/>
                <w:szCs w:val="20"/>
                <w:color w:val="auto"/>
              </w:rPr>
            </w:pPr>
            <w:r>
              <w:rPr>
                <w:rFonts w:ascii="Arial" w:cs="Arial" w:eastAsia="Arial" w:hAnsi="Arial"/>
                <w:sz w:val="14"/>
                <w:szCs w:val="14"/>
                <w:color w:val="auto"/>
              </w:rPr>
              <w:t>Richard Lowenthal, M.S., MSEL</w:t>
            </w:r>
          </w:p>
        </w:tc>
        <w:tc>
          <w:tcPr>
            <w:tcW w:w="620" w:type="dxa"/>
            <w:vAlign w:val="bottom"/>
            <w:shd w:val="clear" w:color="auto" w:fill="E4EDF1"/>
          </w:tcPr>
          <w:p>
            <w:pPr>
              <w:jc w:val="center"/>
              <w:ind w:left="28"/>
              <w:spacing w:after="0" w:line="135" w:lineRule="exact"/>
              <w:rPr>
                <w:sz w:val="20"/>
                <w:szCs w:val="20"/>
                <w:color w:val="auto"/>
              </w:rPr>
            </w:pPr>
            <w:r>
              <w:rPr>
                <w:rFonts w:ascii="Arial" w:cs="Arial" w:eastAsia="Arial" w:hAnsi="Arial"/>
                <w:sz w:val="14"/>
                <w:szCs w:val="14"/>
                <w:color w:val="auto"/>
              </w:rPr>
              <w:t>2025</w:t>
            </w:r>
          </w:p>
        </w:tc>
        <w:tc>
          <w:tcPr>
            <w:tcW w:w="960" w:type="dxa"/>
            <w:vAlign w:val="bottom"/>
            <w:shd w:val="clear" w:color="auto" w:fill="E4EDF1"/>
          </w:tcPr>
          <w:p>
            <w:pPr>
              <w:jc w:val="right"/>
              <w:ind w:right="108"/>
              <w:spacing w:after="0" w:line="135" w:lineRule="exact"/>
              <w:rPr>
                <w:sz w:val="20"/>
                <w:szCs w:val="20"/>
                <w:color w:val="auto"/>
              </w:rPr>
            </w:pPr>
            <w:r>
              <w:rPr>
                <w:rFonts w:ascii="Arial" w:cs="Arial" w:eastAsia="Arial" w:hAnsi="Arial"/>
                <w:sz w:val="14"/>
                <w:szCs w:val="14"/>
                <w:color w:val="auto"/>
              </w:rPr>
              <w:t>700,000</w:t>
            </w:r>
          </w:p>
        </w:tc>
        <w:tc>
          <w:tcPr>
            <w:tcW w:w="920" w:type="dxa"/>
            <w:vAlign w:val="bottom"/>
            <w:shd w:val="clear" w:color="auto" w:fill="E4EDF1"/>
          </w:tcPr>
          <w:p>
            <w:pPr>
              <w:ind w:left="200"/>
              <w:spacing w:after="0" w:line="135" w:lineRule="exact"/>
              <w:rPr>
                <w:sz w:val="20"/>
                <w:szCs w:val="20"/>
                <w:color w:val="auto"/>
              </w:rPr>
            </w:pPr>
            <w:r>
              <w:rPr>
                <w:rFonts w:ascii="Arial" w:cs="Arial" w:eastAsia="Arial" w:hAnsi="Arial"/>
                <w:sz w:val="14"/>
                <w:szCs w:val="14"/>
                <w:color w:val="auto"/>
              </w:rPr>
              <w:t>6,176,110</w:t>
            </w:r>
          </w:p>
        </w:tc>
        <w:tc>
          <w:tcPr>
            <w:tcW w:w="1160" w:type="dxa"/>
            <w:vAlign w:val="bottom"/>
            <w:shd w:val="clear" w:color="auto" w:fill="E4EDF1"/>
          </w:tcPr>
          <w:p>
            <w:pPr>
              <w:jc w:val="right"/>
              <w:ind w:right="8"/>
              <w:spacing w:after="0" w:line="135" w:lineRule="exact"/>
              <w:rPr>
                <w:sz w:val="20"/>
                <w:szCs w:val="20"/>
                <w:color w:val="auto"/>
              </w:rPr>
            </w:pPr>
            <w:r>
              <w:rPr>
                <w:rFonts w:ascii="Arial" w:cs="Arial" w:eastAsia="Arial" w:hAnsi="Arial"/>
                <w:sz w:val="14"/>
                <w:szCs w:val="14"/>
                <w:color w:val="auto"/>
              </w:rPr>
              <w:t>315,000</w:t>
            </w:r>
          </w:p>
        </w:tc>
        <w:tc>
          <w:tcPr>
            <w:tcW w:w="1140" w:type="dxa"/>
            <w:vAlign w:val="bottom"/>
            <w:shd w:val="clear" w:color="auto" w:fill="E4EDF1"/>
          </w:tcPr>
          <w:p>
            <w:pPr>
              <w:jc w:val="right"/>
              <w:spacing w:after="0" w:line="135" w:lineRule="exact"/>
              <w:rPr>
                <w:sz w:val="20"/>
                <w:szCs w:val="20"/>
                <w:color w:val="auto"/>
              </w:rPr>
            </w:pPr>
            <w:r>
              <w:rPr>
                <w:rFonts w:ascii="Arial" w:cs="Arial" w:eastAsia="Arial" w:hAnsi="Arial"/>
                <w:sz w:val="14"/>
                <w:szCs w:val="14"/>
                <w:color w:val="auto"/>
              </w:rPr>
              <w:t>2,465,290</w:t>
            </w:r>
          </w:p>
        </w:tc>
        <w:tc>
          <w:tcPr>
            <w:tcW w:w="260" w:type="dxa"/>
            <w:vAlign w:val="bottom"/>
            <w:shd w:val="clear" w:color="auto" w:fill="E4EDF1"/>
          </w:tcPr>
          <w:p>
            <w:pPr>
              <w:jc w:val="right"/>
              <w:ind w:right="52"/>
              <w:spacing w:after="0"/>
              <w:rPr>
                <w:sz w:val="20"/>
                <w:szCs w:val="20"/>
                <w:color w:val="auto"/>
              </w:rPr>
            </w:pPr>
            <w:r>
              <w:rPr>
                <w:rFonts w:ascii="Arial" w:cs="Arial" w:eastAsia="Arial" w:hAnsi="Arial"/>
                <w:sz w:val="10"/>
                <w:szCs w:val="10"/>
                <w:color w:val="auto"/>
              </w:rPr>
              <w:t>(3)</w:t>
            </w:r>
          </w:p>
        </w:tc>
        <w:tc>
          <w:tcPr>
            <w:tcW w:w="840" w:type="dxa"/>
            <w:vAlign w:val="bottom"/>
            <w:shd w:val="clear" w:color="auto" w:fill="E4EDF1"/>
          </w:tcPr>
          <w:p>
            <w:pPr>
              <w:jc w:val="right"/>
              <w:ind w:right="8"/>
              <w:spacing w:after="0" w:line="135" w:lineRule="exact"/>
              <w:rPr>
                <w:sz w:val="20"/>
                <w:szCs w:val="20"/>
                <w:color w:val="auto"/>
              </w:rPr>
            </w:pPr>
            <w:r>
              <w:rPr>
                <w:rFonts w:ascii="Arial" w:cs="Arial" w:eastAsia="Arial" w:hAnsi="Arial"/>
                <w:sz w:val="14"/>
                <w:szCs w:val="14"/>
                <w:color w:val="auto"/>
              </w:rPr>
              <w:t>9,656,400</w:t>
            </w:r>
          </w:p>
        </w:tc>
      </w:tr>
      <w:tr>
        <w:trPr>
          <w:trHeight w:val="189"/>
        </w:trPr>
        <w:tc>
          <w:tcPr>
            <w:tcW w:w="2520" w:type="dxa"/>
            <w:vAlign w:val="bottom"/>
            <w:shd w:val="clear" w:color="auto" w:fill="E4EDF1"/>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620" w:type="dxa"/>
            <w:vAlign w:val="bottom"/>
            <w:shd w:val="clear" w:color="auto" w:fill="E4EDF1"/>
          </w:tcPr>
          <w:p>
            <w:pPr>
              <w:jc w:val="center"/>
              <w:ind w:left="28"/>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E4EDF1"/>
          </w:tcPr>
          <w:p>
            <w:pPr>
              <w:jc w:val="right"/>
              <w:ind w:right="108"/>
              <w:spacing w:after="0"/>
              <w:rPr>
                <w:sz w:val="20"/>
                <w:szCs w:val="20"/>
                <w:color w:val="auto"/>
              </w:rPr>
            </w:pPr>
            <w:r>
              <w:rPr>
                <w:rFonts w:ascii="Arial" w:cs="Arial" w:eastAsia="Arial" w:hAnsi="Arial"/>
                <w:sz w:val="14"/>
                <w:szCs w:val="14"/>
                <w:color w:val="auto"/>
              </w:rPr>
              <w:t>651,000</w:t>
            </w:r>
          </w:p>
        </w:tc>
        <w:tc>
          <w:tcPr>
            <w:tcW w:w="920" w:type="dxa"/>
            <w:vAlign w:val="bottom"/>
            <w:shd w:val="clear" w:color="auto" w:fill="E4EDF1"/>
          </w:tcPr>
          <w:p>
            <w:pPr>
              <w:ind w:left="200"/>
              <w:spacing w:after="0"/>
              <w:rPr>
                <w:sz w:val="20"/>
                <w:szCs w:val="20"/>
                <w:color w:val="auto"/>
              </w:rPr>
            </w:pPr>
            <w:r>
              <w:rPr>
                <w:rFonts w:ascii="Arial" w:cs="Arial" w:eastAsia="Arial" w:hAnsi="Arial"/>
                <w:sz w:val="14"/>
                <w:szCs w:val="14"/>
                <w:color w:val="auto"/>
              </w:rPr>
              <w:t>3,842,080</w:t>
            </w:r>
          </w:p>
        </w:tc>
        <w:tc>
          <w:tcPr>
            <w:tcW w:w="1160" w:type="dxa"/>
            <w:vAlign w:val="bottom"/>
            <w:shd w:val="clear" w:color="auto" w:fill="E4EDF1"/>
          </w:tcPr>
          <w:p>
            <w:pPr>
              <w:jc w:val="right"/>
              <w:ind w:right="8"/>
              <w:spacing w:after="0"/>
              <w:rPr>
                <w:sz w:val="20"/>
                <w:szCs w:val="20"/>
                <w:color w:val="auto"/>
              </w:rPr>
            </w:pPr>
            <w:r>
              <w:rPr>
                <w:rFonts w:ascii="Arial" w:cs="Arial" w:eastAsia="Arial" w:hAnsi="Arial"/>
                <w:sz w:val="14"/>
                <w:szCs w:val="14"/>
                <w:color w:val="auto"/>
              </w:rPr>
              <w:t>507,780</w:t>
            </w:r>
          </w:p>
        </w:tc>
        <w:tc>
          <w:tcPr>
            <w:tcW w:w="1140" w:type="dxa"/>
            <w:vAlign w:val="bottom"/>
            <w:shd w:val="clear" w:color="auto" w:fill="E4EDF1"/>
          </w:tcPr>
          <w:p>
            <w:pPr>
              <w:jc w:val="right"/>
              <w:spacing w:after="0"/>
              <w:rPr>
                <w:sz w:val="20"/>
                <w:szCs w:val="20"/>
                <w:color w:val="auto"/>
              </w:rPr>
            </w:pPr>
            <w:r>
              <w:rPr>
                <w:rFonts w:ascii="Arial" w:cs="Arial" w:eastAsia="Arial" w:hAnsi="Arial"/>
                <w:sz w:val="14"/>
                <w:szCs w:val="14"/>
                <w:color w:val="auto"/>
              </w:rPr>
              <w:t>2,174,135</w:t>
            </w:r>
          </w:p>
        </w:tc>
        <w:tc>
          <w:tcPr>
            <w:tcW w:w="260" w:type="dxa"/>
            <w:vAlign w:val="bottom"/>
            <w:shd w:val="clear" w:color="auto" w:fill="E4EDF1"/>
          </w:tcPr>
          <w:p>
            <w:pPr>
              <w:jc w:val="right"/>
              <w:ind w:right="52"/>
              <w:spacing w:after="0"/>
              <w:rPr>
                <w:sz w:val="20"/>
                <w:szCs w:val="20"/>
                <w:color w:val="auto"/>
              </w:rPr>
            </w:pPr>
            <w:r>
              <w:rPr>
                <w:rFonts w:ascii="Arial" w:cs="Arial" w:eastAsia="Arial" w:hAnsi="Arial"/>
                <w:sz w:val="10"/>
                <w:szCs w:val="10"/>
                <w:color w:val="auto"/>
              </w:rPr>
              <w:t>(4)</w:t>
            </w:r>
          </w:p>
        </w:tc>
        <w:tc>
          <w:tcPr>
            <w:tcW w:w="840" w:type="dxa"/>
            <w:vAlign w:val="bottom"/>
            <w:shd w:val="clear" w:color="auto" w:fill="E4EDF1"/>
          </w:tcPr>
          <w:p>
            <w:pPr>
              <w:jc w:val="right"/>
              <w:ind w:right="8"/>
              <w:spacing w:after="0"/>
              <w:rPr>
                <w:sz w:val="20"/>
                <w:szCs w:val="20"/>
                <w:color w:val="auto"/>
              </w:rPr>
            </w:pPr>
            <w:r>
              <w:rPr>
                <w:rFonts w:ascii="Arial" w:cs="Arial" w:eastAsia="Arial" w:hAnsi="Arial"/>
                <w:sz w:val="14"/>
                <w:szCs w:val="14"/>
                <w:color w:val="auto"/>
              </w:rPr>
              <w:t>7,174,995</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4"/>
                <w:szCs w:val="14"/>
                <w:color w:val="auto"/>
              </w:rPr>
              <w:t>Sarina Tanimoto, M.D., M.B.A.</w:t>
            </w:r>
          </w:p>
        </w:tc>
        <w:tc>
          <w:tcPr>
            <w:tcW w:w="620" w:type="dxa"/>
            <w:vAlign w:val="bottom"/>
          </w:tcPr>
          <w:p>
            <w:pPr>
              <w:jc w:val="center"/>
              <w:ind w:left="28"/>
              <w:spacing w:after="0" w:line="135" w:lineRule="exact"/>
              <w:rPr>
                <w:sz w:val="20"/>
                <w:szCs w:val="20"/>
                <w:color w:val="auto"/>
              </w:rPr>
            </w:pPr>
            <w:r>
              <w:rPr>
                <w:rFonts w:ascii="Arial" w:cs="Arial" w:eastAsia="Arial" w:hAnsi="Arial"/>
                <w:sz w:val="14"/>
                <w:szCs w:val="14"/>
                <w:color w:val="auto"/>
              </w:rPr>
              <w:t>2025</w:t>
            </w:r>
          </w:p>
        </w:tc>
        <w:tc>
          <w:tcPr>
            <w:tcW w:w="96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540,000</w:t>
            </w:r>
          </w:p>
        </w:tc>
        <w:tc>
          <w:tcPr>
            <w:tcW w:w="920" w:type="dxa"/>
            <w:vAlign w:val="bottom"/>
          </w:tcPr>
          <w:p>
            <w:pPr>
              <w:ind w:left="200"/>
              <w:spacing w:after="0" w:line="135" w:lineRule="exact"/>
              <w:rPr>
                <w:sz w:val="20"/>
                <w:szCs w:val="20"/>
                <w:color w:val="auto"/>
              </w:rPr>
            </w:pPr>
            <w:r>
              <w:rPr>
                <w:rFonts w:ascii="Arial" w:cs="Arial" w:eastAsia="Arial" w:hAnsi="Arial"/>
                <w:sz w:val="14"/>
                <w:szCs w:val="14"/>
                <w:color w:val="auto"/>
              </w:rPr>
              <w:t>2,107,247</w:t>
            </w:r>
          </w:p>
        </w:tc>
        <w:tc>
          <w:tcPr>
            <w:tcW w:w="1160" w:type="dxa"/>
            <w:vAlign w:val="bottom"/>
          </w:tcPr>
          <w:p>
            <w:pPr>
              <w:jc w:val="right"/>
              <w:ind w:right="8"/>
              <w:spacing w:after="0" w:line="135" w:lineRule="exact"/>
              <w:rPr>
                <w:sz w:val="20"/>
                <w:szCs w:val="20"/>
                <w:color w:val="auto"/>
              </w:rPr>
            </w:pPr>
            <w:r>
              <w:rPr>
                <w:rFonts w:ascii="Arial" w:cs="Arial" w:eastAsia="Arial" w:hAnsi="Arial"/>
                <w:sz w:val="14"/>
                <w:szCs w:val="14"/>
                <w:color w:val="auto"/>
              </w:rPr>
              <w:t>178,200</w:t>
            </w: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2,465,024</w:t>
            </w:r>
          </w:p>
        </w:tc>
        <w:tc>
          <w:tcPr>
            <w:tcW w:w="260" w:type="dxa"/>
            <w:vAlign w:val="bottom"/>
          </w:tcPr>
          <w:p>
            <w:pPr>
              <w:jc w:val="right"/>
              <w:ind w:right="52"/>
              <w:spacing w:after="0"/>
              <w:rPr>
                <w:sz w:val="20"/>
                <w:szCs w:val="20"/>
                <w:color w:val="auto"/>
              </w:rPr>
            </w:pPr>
            <w:r>
              <w:rPr>
                <w:rFonts w:ascii="Arial" w:cs="Arial" w:eastAsia="Arial" w:hAnsi="Arial"/>
                <w:sz w:val="10"/>
                <w:szCs w:val="10"/>
                <w:color w:val="auto"/>
              </w:rPr>
              <w:t>(5)</w:t>
            </w:r>
          </w:p>
        </w:tc>
        <w:tc>
          <w:tcPr>
            <w:tcW w:w="840" w:type="dxa"/>
            <w:vAlign w:val="bottom"/>
          </w:tcPr>
          <w:p>
            <w:pPr>
              <w:jc w:val="right"/>
              <w:ind w:right="8"/>
              <w:spacing w:after="0" w:line="135" w:lineRule="exact"/>
              <w:rPr>
                <w:sz w:val="20"/>
                <w:szCs w:val="20"/>
                <w:color w:val="auto"/>
              </w:rPr>
            </w:pPr>
            <w:r>
              <w:rPr>
                <w:rFonts w:ascii="Arial" w:cs="Arial" w:eastAsia="Arial" w:hAnsi="Arial"/>
                <w:sz w:val="14"/>
                <w:szCs w:val="14"/>
                <w:color w:val="auto"/>
              </w:rPr>
              <w:t>5,290,471</w:t>
            </w:r>
          </w:p>
        </w:tc>
      </w:tr>
      <w:tr>
        <w:trPr>
          <w:trHeight w:val="189"/>
        </w:trPr>
        <w:tc>
          <w:tcPr>
            <w:tcW w:w="2520" w:type="dxa"/>
            <w:vAlign w:val="bottom"/>
          </w:tcPr>
          <w:p>
            <w:pPr>
              <w:ind w:left="120"/>
              <w:spacing w:after="0"/>
              <w:rPr>
                <w:sz w:val="20"/>
                <w:szCs w:val="20"/>
                <w:color w:val="auto"/>
              </w:rPr>
            </w:pPr>
            <w:r>
              <w:rPr>
                <w:rFonts w:ascii="Arial" w:cs="Arial" w:eastAsia="Arial" w:hAnsi="Arial"/>
                <w:sz w:val="14"/>
                <w:szCs w:val="14"/>
                <w:i w:val="1"/>
                <w:iCs w:val="1"/>
                <w:color w:val="auto"/>
              </w:rPr>
              <w:t>Chief Medical Officer</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2024</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501,698</w:t>
            </w:r>
          </w:p>
        </w:tc>
        <w:tc>
          <w:tcPr>
            <w:tcW w:w="920" w:type="dxa"/>
            <w:vAlign w:val="bottom"/>
          </w:tcPr>
          <w:p>
            <w:pPr>
              <w:ind w:left="200"/>
              <w:spacing w:after="0"/>
              <w:rPr>
                <w:sz w:val="20"/>
                <w:szCs w:val="20"/>
                <w:color w:val="auto"/>
              </w:rPr>
            </w:pPr>
            <w:r>
              <w:rPr>
                <w:rFonts w:ascii="Arial" w:cs="Arial" w:eastAsia="Arial" w:hAnsi="Arial"/>
                <w:sz w:val="14"/>
                <w:szCs w:val="14"/>
                <w:color w:val="auto"/>
              </w:rPr>
              <w:t>1,309,800</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260,880</w:t>
            </w:r>
          </w:p>
        </w:tc>
        <w:tc>
          <w:tcPr>
            <w:tcW w:w="1140" w:type="dxa"/>
            <w:vAlign w:val="bottom"/>
          </w:tcPr>
          <w:p>
            <w:pPr>
              <w:jc w:val="right"/>
              <w:spacing w:after="0"/>
              <w:rPr>
                <w:sz w:val="20"/>
                <w:szCs w:val="20"/>
                <w:color w:val="auto"/>
              </w:rPr>
            </w:pPr>
            <w:r>
              <w:rPr>
                <w:rFonts w:ascii="Arial" w:cs="Arial" w:eastAsia="Arial" w:hAnsi="Arial"/>
                <w:sz w:val="14"/>
                <w:szCs w:val="14"/>
                <w:color w:val="auto"/>
              </w:rPr>
              <w:t>2,174,395</w:t>
            </w:r>
          </w:p>
        </w:tc>
        <w:tc>
          <w:tcPr>
            <w:tcW w:w="26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4,246,773</w:t>
            </w:r>
          </w:p>
        </w:tc>
      </w:tr>
      <w:tr>
        <w:trPr>
          <w:trHeight w:val="162"/>
        </w:trPr>
        <w:tc>
          <w:tcPr>
            <w:tcW w:w="2520" w:type="dxa"/>
            <w:vAlign w:val="bottom"/>
            <w:shd w:val="clear" w:color="auto" w:fill="E4EDF1"/>
          </w:tcPr>
          <w:p>
            <w:pPr>
              <w:spacing w:after="0"/>
              <w:rPr>
                <w:sz w:val="20"/>
                <w:szCs w:val="20"/>
                <w:color w:val="auto"/>
              </w:rPr>
            </w:pPr>
            <w:r>
              <w:rPr>
                <w:rFonts w:ascii="Arial" w:cs="Arial" w:eastAsia="Arial" w:hAnsi="Arial"/>
                <w:sz w:val="14"/>
                <w:szCs w:val="14"/>
                <w:color w:val="auto"/>
              </w:rPr>
              <w:t>Justin Chakma</w:t>
            </w:r>
          </w:p>
        </w:tc>
        <w:tc>
          <w:tcPr>
            <w:tcW w:w="620" w:type="dxa"/>
            <w:vAlign w:val="bottom"/>
            <w:shd w:val="clear" w:color="auto" w:fill="E4EDF1"/>
          </w:tcPr>
          <w:p>
            <w:pPr>
              <w:jc w:val="center"/>
              <w:ind w:left="28"/>
              <w:spacing w:after="0"/>
              <w:rPr>
                <w:sz w:val="20"/>
                <w:szCs w:val="20"/>
                <w:color w:val="auto"/>
              </w:rPr>
            </w:pPr>
            <w:r>
              <w:rPr>
                <w:rFonts w:ascii="Arial" w:cs="Arial" w:eastAsia="Arial" w:hAnsi="Arial"/>
                <w:sz w:val="14"/>
                <w:szCs w:val="14"/>
                <w:color w:val="auto"/>
              </w:rPr>
              <w:t>2025</w:t>
            </w:r>
          </w:p>
        </w:tc>
        <w:tc>
          <w:tcPr>
            <w:tcW w:w="960" w:type="dxa"/>
            <w:vAlign w:val="bottom"/>
            <w:shd w:val="clear" w:color="auto" w:fill="E4EDF1"/>
          </w:tcPr>
          <w:p>
            <w:pPr>
              <w:jc w:val="right"/>
              <w:ind w:right="108"/>
              <w:spacing w:after="0"/>
              <w:rPr>
                <w:sz w:val="20"/>
                <w:szCs w:val="20"/>
                <w:color w:val="auto"/>
              </w:rPr>
            </w:pPr>
            <w:r>
              <w:rPr>
                <w:rFonts w:ascii="Arial" w:cs="Arial" w:eastAsia="Arial" w:hAnsi="Arial"/>
                <w:sz w:val="14"/>
                <w:szCs w:val="14"/>
                <w:color w:val="auto"/>
              </w:rPr>
              <w:t>497,000</w:t>
            </w:r>
          </w:p>
        </w:tc>
        <w:tc>
          <w:tcPr>
            <w:tcW w:w="920" w:type="dxa"/>
            <w:vAlign w:val="bottom"/>
            <w:shd w:val="clear" w:color="auto" w:fill="E4EDF1"/>
          </w:tcPr>
          <w:p>
            <w:pPr>
              <w:ind w:left="200"/>
              <w:spacing w:after="0"/>
              <w:rPr>
                <w:sz w:val="20"/>
                <w:szCs w:val="20"/>
                <w:color w:val="auto"/>
              </w:rPr>
            </w:pPr>
            <w:r>
              <w:rPr>
                <w:rFonts w:ascii="Arial" w:cs="Arial" w:eastAsia="Arial" w:hAnsi="Arial"/>
                <w:sz w:val="14"/>
                <w:szCs w:val="14"/>
                <w:color w:val="auto"/>
              </w:rPr>
              <w:t>2,205,409</w:t>
            </w:r>
          </w:p>
        </w:tc>
        <w:tc>
          <w:tcPr>
            <w:tcW w:w="1160" w:type="dxa"/>
            <w:vAlign w:val="bottom"/>
            <w:shd w:val="clear" w:color="auto" w:fill="E4EDF1"/>
          </w:tcPr>
          <w:p>
            <w:pPr>
              <w:jc w:val="right"/>
              <w:ind w:right="8"/>
              <w:spacing w:after="0"/>
              <w:rPr>
                <w:sz w:val="20"/>
                <w:szCs w:val="20"/>
                <w:color w:val="auto"/>
              </w:rPr>
            </w:pPr>
            <w:r>
              <w:rPr>
                <w:rFonts w:ascii="Arial" w:cs="Arial" w:eastAsia="Arial" w:hAnsi="Arial"/>
                <w:sz w:val="14"/>
                <w:szCs w:val="14"/>
                <w:color w:val="auto"/>
              </w:rPr>
              <w:t>164,000</w:t>
            </w:r>
          </w:p>
        </w:tc>
        <w:tc>
          <w:tcPr>
            <w:tcW w:w="1140" w:type="dxa"/>
            <w:vAlign w:val="bottom"/>
            <w:shd w:val="clear" w:color="auto" w:fill="E4EDF1"/>
          </w:tcPr>
          <w:p>
            <w:pPr>
              <w:jc w:val="right"/>
              <w:spacing w:after="0"/>
              <w:rPr>
                <w:sz w:val="20"/>
                <w:szCs w:val="20"/>
                <w:color w:val="auto"/>
              </w:rPr>
            </w:pPr>
            <w:r>
              <w:rPr>
                <w:rFonts w:ascii="Arial" w:cs="Arial" w:eastAsia="Arial" w:hAnsi="Arial"/>
                <w:sz w:val="14"/>
                <w:szCs w:val="14"/>
                <w:color w:val="auto"/>
              </w:rPr>
              <w:t>21,700</w:t>
            </w:r>
          </w:p>
        </w:tc>
        <w:tc>
          <w:tcPr>
            <w:tcW w:w="260" w:type="dxa"/>
            <w:vAlign w:val="bottom"/>
            <w:shd w:val="clear" w:color="auto" w:fill="E4EDF1"/>
          </w:tcPr>
          <w:p>
            <w:pPr>
              <w:jc w:val="right"/>
              <w:ind w:right="52"/>
              <w:spacing w:after="0"/>
              <w:rPr>
                <w:sz w:val="20"/>
                <w:szCs w:val="20"/>
                <w:color w:val="auto"/>
              </w:rPr>
            </w:pPr>
            <w:r>
              <w:rPr>
                <w:rFonts w:ascii="Arial" w:cs="Arial" w:eastAsia="Arial" w:hAnsi="Arial"/>
                <w:sz w:val="10"/>
                <w:szCs w:val="10"/>
                <w:color w:val="auto"/>
              </w:rPr>
              <w:t>(7)</w:t>
            </w:r>
          </w:p>
        </w:tc>
        <w:tc>
          <w:tcPr>
            <w:tcW w:w="840" w:type="dxa"/>
            <w:vAlign w:val="bottom"/>
            <w:shd w:val="clear" w:color="auto" w:fill="E4EDF1"/>
          </w:tcPr>
          <w:p>
            <w:pPr>
              <w:jc w:val="right"/>
              <w:ind w:right="8"/>
              <w:spacing w:after="0"/>
              <w:rPr>
                <w:sz w:val="20"/>
                <w:szCs w:val="20"/>
                <w:color w:val="auto"/>
              </w:rPr>
            </w:pPr>
            <w:r>
              <w:rPr>
                <w:rFonts w:ascii="Arial" w:cs="Arial" w:eastAsia="Arial" w:hAnsi="Arial"/>
                <w:sz w:val="14"/>
                <w:szCs w:val="14"/>
                <w:color w:val="auto"/>
              </w:rPr>
              <w:t>2,888,109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-102235</wp:posOffset>
            </wp:positionV>
            <wp:extent cx="534924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4"/>
          <w:szCs w:val="14"/>
          <w:i w:val="1"/>
          <w:iCs w:val="1"/>
          <w:color w:val="auto"/>
        </w:rPr>
        <w:t>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103505</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5" w:lineRule="exact"/>
        <w:rPr>
          <w:sz w:val="20"/>
          <w:szCs w:val="20"/>
          <w:color w:val="auto"/>
        </w:rPr>
      </w:pPr>
    </w:p>
    <w:p>
      <w:pPr>
        <w:jc w:val="both"/>
        <w:ind w:left="740" w:right="299" w:hanging="448"/>
        <w:spacing w:after="0" w:line="250"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in the applicable year. These amounts have been computed in accordance with FASB ASC Topic 718. Assumptions used in the calculation of these amounts are described in Note 13 to our audited consolidated financial statements in our Annual Report on Form 10-K for the year ended December 31, 2025. These amounts do not reflect the actual economic value that will be realized by our Named Executive Officers upon the exercise of stock options or the sale of the common stock underlying such stock options.</w:t>
      </w:r>
    </w:p>
    <w:p>
      <w:pPr>
        <w:spacing w:after="0" w:line="19"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amounts represent cash bonuses earned in the applicable year based upon the achievement of Company and personal objectives for the applicable year. See the discussion under “Executive Compensation” above.</w:t>
      </w:r>
    </w:p>
    <w:p>
      <w:pPr>
        <w:spacing w:after="0" w:line="1"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approximately $2,444,956 paid to Pacific-Link Consulting LLC pursuant to the 2022 PLC Consulting Agreement (see “Certain Related-Person Transactions—Consulting Arrangements” for more information about the 2022 PLC Consulting Agreement), and (ii) approximately $16,134 for 401(k) matching contributions. Mr. Lowenthal did not perform any of the consulting services provided to us in 2025 pursuant to the 2022 PLC Consulting Agreement, but he is an owner of PLC.</w:t>
      </w:r>
    </w:p>
    <w:p>
      <w:pPr>
        <w:spacing w:after="0" w:line="15"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approximately $2,154,450 paid to Pacific-Link Consulting LLC pursuant to the 2022 PLC Consulting Agreement (see “Certain Related-Person Transactions—Consulting Arrangements” for more information about the 2022 PLC Consulting Agreement), and (ii) approximately $15,485 for 401(k) matching contributions. Mr. Lowenthal did not perform any of the consulting services provided to us in 2024 pursuant to the 2022 PLC Consulting Agreement, but he is an owner of PLC.</w:t>
      </w:r>
    </w:p>
    <w:p>
      <w:pPr>
        <w:spacing w:after="0" w:line="15"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approximately $2,444,956 paid to Pacific-Link Consulting LLC pursuant to the 2022 PLC Consulting Agreement (see “Certain Related-Person Transactions—Consulting Arrangements” for more information about the 2022 PLC Consulting Agreement), and (ii) approximately $15,868 for 401(k) matching contributions. Dr. Tanimoto did not perform any of the consulting services provided to us in 2025 pursuant to the 2022 PLC Consulting Agreement, but she is an owner of PLC.</w:t>
      </w:r>
    </w:p>
    <w:p>
      <w:pPr>
        <w:spacing w:after="0" w:line="15"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approximately $2,154,450 paid to Pacific-Link Consulting LLC pursuant to the 2022 PLC Consulting Agreement (see “Certain Related-Person Transactions—Consulting Arrangements” for more information about the 2022 PLC Consulting Agreement), and (ii) approximately $15,745 for 401(k) matching contributions. Dr. Tanimoto did not perform any of the consulting services provided to us in 2024 pursuant to the 2022 PLC Consulting Agreement, but she is an owner of PLC.</w:t>
      </w:r>
    </w:p>
    <w:p>
      <w:pPr>
        <w:spacing w:after="0" w:line="15" w:lineRule="exact"/>
        <w:rPr>
          <w:rFonts w:ascii="Arial" w:cs="Arial" w:eastAsia="Arial" w:hAnsi="Arial"/>
          <w:sz w:val="14"/>
          <w:szCs w:val="14"/>
          <w:color w:val="auto"/>
        </w:rPr>
      </w:pPr>
    </w:p>
    <w:p>
      <w:pPr>
        <w:ind w:left="740" w:hanging="448"/>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approximately $17,500 for 401(k) matching contributions.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1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Outstanding Equity Awards at Fiscal Year End</w:t>
      </w:r>
    </w:p>
    <w:p>
      <w:pPr>
        <w:spacing w:after="0" w:line="123" w:lineRule="exact"/>
        <w:rPr>
          <w:sz w:val="20"/>
          <w:szCs w:val="20"/>
          <w:color w:val="auto"/>
        </w:rPr>
      </w:pPr>
    </w:p>
    <w:p>
      <w:pPr>
        <w:ind w:left="300" w:right="299" w:firstLine="648"/>
        <w:spacing w:after="0" w:line="271" w:lineRule="auto"/>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2025.</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225"/>
        </w:trPr>
        <w:tc>
          <w:tcPr>
            <w:tcW w:w="2360" w:type="dxa"/>
            <w:vAlign w:val="bottom"/>
            <w:shd w:val="clear" w:color="auto" w:fill="0B4B73"/>
          </w:tcPr>
          <w:p>
            <w:pPr>
              <w:spacing w:after="0"/>
              <w:rPr>
                <w:sz w:val="19"/>
                <w:szCs w:val="19"/>
                <w:color w:val="auto"/>
              </w:rPr>
            </w:pPr>
          </w:p>
        </w:tc>
        <w:tc>
          <w:tcPr>
            <w:tcW w:w="1100" w:type="dxa"/>
            <w:vAlign w:val="bottom"/>
            <w:shd w:val="clear" w:color="auto" w:fill="0B4B73"/>
          </w:tcPr>
          <w:p>
            <w:pPr>
              <w:spacing w:after="0"/>
              <w:rPr>
                <w:sz w:val="19"/>
                <w:szCs w:val="19"/>
                <w:color w:val="auto"/>
              </w:rPr>
            </w:pPr>
          </w:p>
        </w:tc>
        <w:tc>
          <w:tcPr>
            <w:tcW w:w="1100" w:type="dxa"/>
            <w:vAlign w:val="bottom"/>
            <w:shd w:val="clear" w:color="auto" w:fill="0B4B73"/>
          </w:tcPr>
          <w:p>
            <w:pPr>
              <w:spacing w:after="0"/>
              <w:rPr>
                <w:sz w:val="19"/>
                <w:szCs w:val="19"/>
                <w:color w:val="auto"/>
              </w:rPr>
            </w:pPr>
          </w:p>
        </w:tc>
        <w:tc>
          <w:tcPr>
            <w:tcW w:w="340" w:type="dxa"/>
            <w:vAlign w:val="bottom"/>
            <w:shd w:val="clear" w:color="auto" w:fill="0B4B73"/>
          </w:tcPr>
          <w:p>
            <w:pPr>
              <w:spacing w:after="0"/>
              <w:rPr>
                <w:sz w:val="19"/>
                <w:szCs w:val="19"/>
                <w:color w:val="auto"/>
              </w:rPr>
            </w:pPr>
          </w:p>
        </w:tc>
        <w:tc>
          <w:tcPr>
            <w:tcW w:w="2460" w:type="dxa"/>
            <w:vAlign w:val="bottom"/>
            <w:gridSpan w:val="3"/>
            <w:shd w:val="clear" w:color="auto" w:fill="0B4B73"/>
          </w:tcPr>
          <w:p>
            <w:pPr>
              <w:jc w:val="right"/>
              <w:ind w:right="741"/>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19"/>
                <w:szCs w:val="19"/>
                <w:b w:val="1"/>
                <w:bCs w:val="1"/>
                <w:color w:val="FFFFFF"/>
                <w:vertAlign w:val="superscript"/>
              </w:rPr>
              <w:t>(1)</w:t>
            </w:r>
          </w:p>
        </w:tc>
        <w:tc>
          <w:tcPr>
            <w:tcW w:w="1060" w:type="dxa"/>
            <w:vAlign w:val="bottom"/>
            <w:shd w:val="clear" w:color="auto" w:fill="0B4B73"/>
          </w:tcPr>
          <w:p>
            <w:pPr>
              <w:spacing w:after="0"/>
              <w:rPr>
                <w:sz w:val="19"/>
                <w:szCs w:val="19"/>
                <w:color w:val="auto"/>
              </w:rPr>
            </w:pPr>
          </w:p>
        </w:tc>
      </w:tr>
      <w:tr>
        <w:trPr>
          <w:trHeight w:val="169"/>
        </w:trPr>
        <w:tc>
          <w:tcPr>
            <w:tcW w:w="236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1100" w:type="dxa"/>
            <w:vAlign w:val="bottom"/>
            <w:shd w:val="clear" w:color="auto" w:fill="0B4B73"/>
          </w:tcPr>
          <w:p>
            <w:pPr>
              <w:jc w:val="center"/>
              <w:ind w:left="22"/>
              <w:spacing w:after="0"/>
              <w:rPr>
                <w:sz w:val="20"/>
                <w:szCs w:val="20"/>
                <w:color w:val="auto"/>
              </w:rPr>
            </w:pPr>
            <w:r>
              <w:rPr>
                <w:rFonts w:ascii="Arial" w:cs="Arial" w:eastAsia="Arial" w:hAnsi="Arial"/>
                <w:sz w:val="14"/>
                <w:szCs w:val="14"/>
                <w:b w:val="1"/>
                <w:bCs w:val="1"/>
                <w:color w:val="FFFFFF"/>
              </w:rPr>
              <w:t>Number of</w:t>
            </w:r>
          </w:p>
        </w:tc>
        <w:tc>
          <w:tcPr>
            <w:tcW w:w="34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2"/>
              <w:spacing w:after="0"/>
              <w:rPr>
                <w:sz w:val="20"/>
                <w:szCs w:val="20"/>
                <w:color w:val="auto"/>
              </w:rPr>
            </w:pPr>
            <w:r>
              <w:rPr>
                <w:rFonts w:ascii="Arial" w:cs="Arial" w:eastAsia="Arial" w:hAnsi="Arial"/>
                <w:sz w:val="14"/>
                <w:szCs w:val="14"/>
                <w:b w:val="1"/>
                <w:bCs w:val="1"/>
                <w:color w:val="FFFFFF"/>
              </w:rPr>
              <w:t>Number of</w:t>
            </w:r>
          </w:p>
        </w:tc>
        <w:tc>
          <w:tcPr>
            <w:tcW w:w="240" w:type="dxa"/>
            <w:vAlign w:val="bottom"/>
            <w:shd w:val="clear" w:color="auto" w:fill="0B4B73"/>
          </w:tcPr>
          <w:p>
            <w:pPr>
              <w:spacing w:after="0"/>
              <w:rPr>
                <w:sz w:val="14"/>
                <w:szCs w:val="14"/>
                <w:color w:val="auto"/>
              </w:rPr>
            </w:pPr>
          </w:p>
        </w:tc>
        <w:tc>
          <w:tcPr>
            <w:tcW w:w="1080" w:type="dxa"/>
            <w:vAlign w:val="bottom"/>
            <w:shd w:val="clear" w:color="auto" w:fill="0B4B73"/>
          </w:tcPr>
          <w:p>
            <w:pPr>
              <w:spacing w:after="0"/>
              <w:rPr>
                <w:sz w:val="14"/>
                <w:szCs w:val="14"/>
                <w:color w:val="auto"/>
              </w:rPr>
            </w:pPr>
          </w:p>
        </w:tc>
        <w:tc>
          <w:tcPr>
            <w:tcW w:w="1060" w:type="dxa"/>
            <w:vAlign w:val="bottom"/>
            <w:shd w:val="clear" w:color="auto" w:fill="0B4B73"/>
          </w:tcPr>
          <w:p>
            <w:pPr>
              <w:spacing w:after="0"/>
              <w:rPr>
                <w:sz w:val="14"/>
                <w:szCs w:val="14"/>
                <w:color w:val="auto"/>
              </w:rPr>
            </w:pPr>
          </w:p>
        </w:tc>
      </w:tr>
      <w:tr>
        <w:trPr>
          <w:trHeight w:val="162"/>
        </w:trPr>
        <w:tc>
          <w:tcPr>
            <w:tcW w:w="236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1100" w:type="dxa"/>
            <w:vAlign w:val="bottom"/>
            <w:shd w:val="clear" w:color="auto" w:fill="0B4B73"/>
          </w:tcPr>
          <w:p>
            <w:pPr>
              <w:jc w:val="center"/>
              <w:ind w:left="22"/>
              <w:spacing w:after="0"/>
              <w:rPr>
                <w:sz w:val="20"/>
                <w:szCs w:val="20"/>
                <w:color w:val="auto"/>
              </w:rPr>
            </w:pPr>
            <w:r>
              <w:rPr>
                <w:rFonts w:ascii="Arial" w:cs="Arial" w:eastAsia="Arial" w:hAnsi="Arial"/>
                <w:sz w:val="14"/>
                <w:szCs w:val="14"/>
                <w:b w:val="1"/>
                <w:bCs w:val="1"/>
                <w:color w:val="FFFFFF"/>
              </w:rPr>
              <w:t>Securities</w:t>
            </w:r>
          </w:p>
        </w:tc>
        <w:tc>
          <w:tcPr>
            <w:tcW w:w="34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2"/>
              <w:spacing w:after="0"/>
              <w:rPr>
                <w:sz w:val="20"/>
                <w:szCs w:val="20"/>
                <w:color w:val="auto"/>
              </w:rPr>
            </w:pPr>
            <w:r>
              <w:rPr>
                <w:rFonts w:ascii="Arial" w:cs="Arial" w:eastAsia="Arial" w:hAnsi="Arial"/>
                <w:sz w:val="14"/>
                <w:szCs w:val="14"/>
                <w:b w:val="1"/>
                <w:bCs w:val="1"/>
                <w:color w:val="FFFFFF"/>
              </w:rPr>
              <w:t>Securities</w:t>
            </w:r>
          </w:p>
        </w:tc>
        <w:tc>
          <w:tcPr>
            <w:tcW w:w="240" w:type="dxa"/>
            <w:vAlign w:val="bottom"/>
            <w:shd w:val="clear" w:color="auto" w:fill="0B4B73"/>
          </w:tcPr>
          <w:p>
            <w:pPr>
              <w:spacing w:after="0"/>
              <w:rPr>
                <w:sz w:val="14"/>
                <w:szCs w:val="14"/>
                <w:color w:val="auto"/>
              </w:rPr>
            </w:pPr>
          </w:p>
        </w:tc>
        <w:tc>
          <w:tcPr>
            <w:tcW w:w="1080" w:type="dxa"/>
            <w:vAlign w:val="bottom"/>
            <w:shd w:val="clear" w:color="auto" w:fill="0B4B73"/>
          </w:tcPr>
          <w:p>
            <w:pPr>
              <w:spacing w:after="0"/>
              <w:rPr>
                <w:sz w:val="14"/>
                <w:szCs w:val="14"/>
                <w:color w:val="auto"/>
              </w:rPr>
            </w:pPr>
          </w:p>
        </w:tc>
        <w:tc>
          <w:tcPr>
            <w:tcW w:w="1060" w:type="dxa"/>
            <w:vAlign w:val="bottom"/>
            <w:shd w:val="clear" w:color="auto" w:fill="0B4B73"/>
          </w:tcPr>
          <w:p>
            <w:pPr>
              <w:spacing w:after="0"/>
              <w:rPr>
                <w:sz w:val="14"/>
                <w:szCs w:val="14"/>
                <w:color w:val="auto"/>
              </w:rPr>
            </w:pPr>
          </w:p>
        </w:tc>
      </w:tr>
      <w:tr>
        <w:trPr>
          <w:trHeight w:val="162"/>
        </w:trPr>
        <w:tc>
          <w:tcPr>
            <w:tcW w:w="236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1100" w:type="dxa"/>
            <w:vAlign w:val="bottom"/>
            <w:shd w:val="clear" w:color="auto" w:fill="0B4B73"/>
          </w:tcPr>
          <w:p>
            <w:pPr>
              <w:jc w:val="center"/>
              <w:ind w:left="22"/>
              <w:spacing w:after="0"/>
              <w:rPr>
                <w:sz w:val="20"/>
                <w:szCs w:val="20"/>
                <w:color w:val="auto"/>
              </w:rPr>
            </w:pPr>
            <w:r>
              <w:rPr>
                <w:rFonts w:ascii="Arial" w:cs="Arial" w:eastAsia="Arial" w:hAnsi="Arial"/>
                <w:sz w:val="14"/>
                <w:szCs w:val="14"/>
                <w:b w:val="1"/>
                <w:bCs w:val="1"/>
                <w:color w:val="FFFFFF"/>
              </w:rPr>
              <w:t>Underlying</w:t>
            </w:r>
          </w:p>
        </w:tc>
        <w:tc>
          <w:tcPr>
            <w:tcW w:w="34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
              <w:spacing w:after="0"/>
              <w:rPr>
                <w:sz w:val="20"/>
                <w:szCs w:val="20"/>
                <w:color w:val="auto"/>
              </w:rPr>
            </w:pPr>
            <w:r>
              <w:rPr>
                <w:rFonts w:ascii="Arial" w:cs="Arial" w:eastAsia="Arial" w:hAnsi="Arial"/>
                <w:sz w:val="14"/>
                <w:szCs w:val="14"/>
                <w:b w:val="1"/>
                <w:bCs w:val="1"/>
                <w:color w:val="FFFFFF"/>
              </w:rPr>
              <w:t>Underlying</w:t>
            </w:r>
          </w:p>
        </w:tc>
        <w:tc>
          <w:tcPr>
            <w:tcW w:w="240" w:type="dxa"/>
            <w:vAlign w:val="bottom"/>
            <w:shd w:val="clear" w:color="auto" w:fill="0B4B73"/>
          </w:tcPr>
          <w:p>
            <w:pPr>
              <w:spacing w:after="0"/>
              <w:rPr>
                <w:sz w:val="14"/>
                <w:szCs w:val="14"/>
                <w:color w:val="auto"/>
              </w:rPr>
            </w:pPr>
          </w:p>
        </w:tc>
        <w:tc>
          <w:tcPr>
            <w:tcW w:w="1080" w:type="dxa"/>
            <w:vAlign w:val="bottom"/>
            <w:shd w:val="clear" w:color="auto" w:fill="0B4B73"/>
          </w:tcPr>
          <w:p>
            <w:pPr>
              <w:jc w:val="center"/>
              <w:ind w:right="201"/>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B4B73"/>
          </w:tcPr>
          <w:p>
            <w:pPr>
              <w:spacing w:after="0"/>
              <w:rPr>
                <w:sz w:val="14"/>
                <w:szCs w:val="14"/>
                <w:color w:val="auto"/>
              </w:rPr>
            </w:pPr>
          </w:p>
        </w:tc>
      </w:tr>
      <w:tr>
        <w:trPr>
          <w:trHeight w:val="162"/>
        </w:trPr>
        <w:tc>
          <w:tcPr>
            <w:tcW w:w="236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1100" w:type="dxa"/>
            <w:vAlign w:val="bottom"/>
            <w:shd w:val="clear" w:color="auto" w:fill="0B4B73"/>
          </w:tcPr>
          <w:p>
            <w:pPr>
              <w:jc w:val="center"/>
              <w:ind w:left="2"/>
              <w:spacing w:after="0"/>
              <w:rPr>
                <w:sz w:val="20"/>
                <w:szCs w:val="20"/>
                <w:color w:val="auto"/>
              </w:rPr>
            </w:pPr>
            <w:r>
              <w:rPr>
                <w:rFonts w:ascii="Arial" w:cs="Arial" w:eastAsia="Arial" w:hAnsi="Arial"/>
                <w:sz w:val="14"/>
                <w:szCs w:val="14"/>
                <w:b w:val="1"/>
                <w:bCs w:val="1"/>
                <w:color w:val="FFFFFF"/>
              </w:rPr>
              <w:t>Unexercised</w:t>
            </w:r>
          </w:p>
        </w:tc>
        <w:tc>
          <w:tcPr>
            <w:tcW w:w="34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
              <w:spacing w:after="0"/>
              <w:rPr>
                <w:sz w:val="20"/>
                <w:szCs w:val="20"/>
                <w:color w:val="auto"/>
              </w:rPr>
            </w:pPr>
            <w:r>
              <w:rPr>
                <w:rFonts w:ascii="Arial" w:cs="Arial" w:eastAsia="Arial" w:hAnsi="Arial"/>
                <w:sz w:val="14"/>
                <w:szCs w:val="14"/>
                <w:b w:val="1"/>
                <w:bCs w:val="1"/>
                <w:color w:val="FFFFFF"/>
              </w:rPr>
              <w:t>Unexercised</w:t>
            </w:r>
          </w:p>
        </w:tc>
        <w:tc>
          <w:tcPr>
            <w:tcW w:w="240" w:type="dxa"/>
            <w:vAlign w:val="bottom"/>
            <w:shd w:val="clear" w:color="auto" w:fill="0B4B73"/>
          </w:tcPr>
          <w:p>
            <w:pPr>
              <w:spacing w:after="0"/>
              <w:rPr>
                <w:sz w:val="14"/>
                <w:szCs w:val="14"/>
                <w:color w:val="auto"/>
              </w:rPr>
            </w:pPr>
          </w:p>
        </w:tc>
        <w:tc>
          <w:tcPr>
            <w:tcW w:w="1080" w:type="dxa"/>
            <w:vAlign w:val="bottom"/>
            <w:shd w:val="clear" w:color="auto" w:fill="0B4B73"/>
          </w:tcPr>
          <w:p>
            <w:pPr>
              <w:jc w:val="center"/>
              <w:ind w:right="201"/>
              <w:spacing w:after="0"/>
              <w:rPr>
                <w:sz w:val="20"/>
                <w:szCs w:val="20"/>
                <w:color w:val="auto"/>
              </w:rPr>
            </w:pPr>
            <w:r>
              <w:rPr>
                <w:rFonts w:ascii="Arial" w:cs="Arial" w:eastAsia="Arial" w:hAnsi="Arial"/>
                <w:sz w:val="14"/>
                <w:szCs w:val="14"/>
                <w:b w:val="1"/>
                <w:bCs w:val="1"/>
                <w:color w:val="FFFFFF"/>
              </w:rPr>
              <w:t>Exercise</w:t>
            </w:r>
          </w:p>
        </w:tc>
        <w:tc>
          <w:tcPr>
            <w:tcW w:w="1060" w:type="dxa"/>
            <w:vAlign w:val="bottom"/>
            <w:shd w:val="clear" w:color="auto" w:fill="0B4B73"/>
          </w:tcPr>
          <w:p>
            <w:pPr>
              <w:spacing w:after="0"/>
              <w:rPr>
                <w:sz w:val="14"/>
                <w:szCs w:val="14"/>
                <w:color w:val="auto"/>
              </w:rPr>
            </w:pPr>
          </w:p>
        </w:tc>
      </w:tr>
      <w:tr>
        <w:trPr>
          <w:trHeight w:val="162"/>
        </w:trPr>
        <w:tc>
          <w:tcPr>
            <w:tcW w:w="2360" w:type="dxa"/>
            <w:vAlign w:val="bottom"/>
            <w:shd w:val="clear" w:color="auto" w:fill="0B4B73"/>
          </w:tcPr>
          <w:p>
            <w:pPr>
              <w:spacing w:after="0"/>
              <w:rPr>
                <w:sz w:val="14"/>
                <w:szCs w:val="14"/>
                <w:color w:val="auto"/>
              </w:rPr>
            </w:pPr>
          </w:p>
        </w:tc>
        <w:tc>
          <w:tcPr>
            <w:tcW w:w="1100" w:type="dxa"/>
            <w:vAlign w:val="bottom"/>
            <w:shd w:val="clear" w:color="auto" w:fill="0B4B73"/>
          </w:tcPr>
          <w:p>
            <w:pPr>
              <w:spacing w:after="0"/>
              <w:rPr>
                <w:sz w:val="14"/>
                <w:szCs w:val="14"/>
                <w:color w:val="auto"/>
              </w:rPr>
            </w:pPr>
          </w:p>
        </w:tc>
        <w:tc>
          <w:tcPr>
            <w:tcW w:w="1100" w:type="dxa"/>
            <w:vAlign w:val="bottom"/>
            <w:shd w:val="clear" w:color="auto" w:fill="0B4B73"/>
          </w:tcPr>
          <w:p>
            <w:pPr>
              <w:jc w:val="center"/>
              <w:ind w:left="2"/>
              <w:spacing w:after="0"/>
              <w:rPr>
                <w:sz w:val="20"/>
                <w:szCs w:val="20"/>
                <w:color w:val="auto"/>
              </w:rPr>
            </w:pPr>
            <w:r>
              <w:rPr>
                <w:rFonts w:ascii="Arial" w:cs="Arial" w:eastAsia="Arial" w:hAnsi="Arial"/>
                <w:sz w:val="14"/>
                <w:szCs w:val="14"/>
                <w:b w:val="1"/>
                <w:bCs w:val="1"/>
                <w:color w:val="FFFFFF"/>
              </w:rPr>
              <w:t>Options</w:t>
            </w:r>
          </w:p>
        </w:tc>
        <w:tc>
          <w:tcPr>
            <w:tcW w:w="34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
              <w:spacing w:after="0"/>
              <w:rPr>
                <w:sz w:val="20"/>
                <w:szCs w:val="20"/>
                <w:color w:val="auto"/>
              </w:rPr>
            </w:pPr>
            <w:r>
              <w:rPr>
                <w:rFonts w:ascii="Arial" w:cs="Arial" w:eastAsia="Arial" w:hAnsi="Arial"/>
                <w:sz w:val="14"/>
                <w:szCs w:val="14"/>
                <w:b w:val="1"/>
                <w:bCs w:val="1"/>
                <w:color w:val="FFFFFF"/>
              </w:rPr>
              <w:t>Options</w:t>
            </w:r>
          </w:p>
        </w:tc>
        <w:tc>
          <w:tcPr>
            <w:tcW w:w="240" w:type="dxa"/>
            <w:vAlign w:val="bottom"/>
            <w:shd w:val="clear" w:color="auto" w:fill="0B4B73"/>
          </w:tcPr>
          <w:p>
            <w:pPr>
              <w:spacing w:after="0"/>
              <w:rPr>
                <w:sz w:val="14"/>
                <w:szCs w:val="14"/>
                <w:color w:val="auto"/>
              </w:rPr>
            </w:pPr>
          </w:p>
        </w:tc>
        <w:tc>
          <w:tcPr>
            <w:tcW w:w="1080" w:type="dxa"/>
            <w:vAlign w:val="bottom"/>
            <w:shd w:val="clear" w:color="auto" w:fill="0B4B73"/>
          </w:tcPr>
          <w:p>
            <w:pPr>
              <w:jc w:val="center"/>
              <w:ind w:right="201"/>
              <w:spacing w:after="0"/>
              <w:rPr>
                <w:sz w:val="20"/>
                <w:szCs w:val="20"/>
                <w:color w:val="auto"/>
              </w:rPr>
            </w:pPr>
            <w:r>
              <w:rPr>
                <w:rFonts w:ascii="Arial" w:cs="Arial" w:eastAsia="Arial" w:hAnsi="Arial"/>
                <w:sz w:val="14"/>
                <w:szCs w:val="14"/>
                <w:b w:val="1"/>
                <w:bCs w:val="1"/>
                <w:color w:val="FFFFFF"/>
              </w:rPr>
              <w:t>Price</w:t>
            </w:r>
          </w:p>
        </w:tc>
        <w:tc>
          <w:tcPr>
            <w:tcW w:w="10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35"/>
        </w:trPr>
        <w:tc>
          <w:tcPr>
            <w:tcW w:w="2360" w:type="dxa"/>
            <w:vAlign w:val="bottom"/>
            <w:shd w:val="clear" w:color="auto" w:fill="0B4B73"/>
          </w:tcPr>
          <w:p>
            <w:pPr>
              <w:spacing w:after="0"/>
              <w:rPr>
                <w:sz w:val="11"/>
                <w:szCs w:val="11"/>
                <w:color w:val="auto"/>
              </w:rPr>
            </w:pPr>
          </w:p>
        </w:tc>
        <w:tc>
          <w:tcPr>
            <w:tcW w:w="110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Grant</w:t>
            </w:r>
          </w:p>
        </w:tc>
        <w:tc>
          <w:tcPr>
            <w:tcW w:w="1100" w:type="dxa"/>
            <w:vAlign w:val="bottom"/>
            <w:shd w:val="clear" w:color="auto" w:fill="0B4B73"/>
          </w:tcPr>
          <w:p>
            <w:pPr>
              <w:jc w:val="center"/>
              <w:ind w:left="22"/>
              <w:spacing w:after="0" w:line="135" w:lineRule="exact"/>
              <w:rPr>
                <w:sz w:val="20"/>
                <w:szCs w:val="20"/>
                <w:color w:val="auto"/>
              </w:rPr>
            </w:pPr>
            <w:r>
              <w:rPr>
                <w:rFonts w:ascii="Arial" w:cs="Arial" w:eastAsia="Arial" w:hAnsi="Arial"/>
                <w:sz w:val="14"/>
                <w:szCs w:val="14"/>
                <w:b w:val="1"/>
                <w:bCs w:val="1"/>
                <w:color w:val="FFFFFF"/>
              </w:rPr>
              <w:t>Exercisable</w:t>
            </w:r>
          </w:p>
        </w:tc>
        <w:tc>
          <w:tcPr>
            <w:tcW w:w="340" w:type="dxa"/>
            <w:vAlign w:val="bottom"/>
            <w:shd w:val="clear" w:color="auto" w:fill="0B4B73"/>
          </w:tcPr>
          <w:p>
            <w:pPr>
              <w:spacing w:after="0"/>
              <w:rPr>
                <w:sz w:val="11"/>
                <w:szCs w:val="11"/>
                <w:color w:val="auto"/>
              </w:rPr>
            </w:pPr>
          </w:p>
        </w:tc>
        <w:tc>
          <w:tcPr>
            <w:tcW w:w="1140" w:type="dxa"/>
            <w:vAlign w:val="bottom"/>
            <w:shd w:val="clear" w:color="auto" w:fill="0B4B73"/>
          </w:tcPr>
          <w:p>
            <w:pPr>
              <w:jc w:val="center"/>
              <w:ind w:right="2"/>
              <w:spacing w:after="0" w:line="135" w:lineRule="exact"/>
              <w:rPr>
                <w:sz w:val="20"/>
                <w:szCs w:val="20"/>
                <w:color w:val="auto"/>
              </w:rPr>
            </w:pPr>
            <w:r>
              <w:rPr>
                <w:rFonts w:ascii="Arial" w:cs="Arial" w:eastAsia="Arial" w:hAnsi="Arial"/>
                <w:sz w:val="14"/>
                <w:szCs w:val="14"/>
                <w:b w:val="1"/>
                <w:bCs w:val="1"/>
                <w:color w:val="FFFFFF"/>
              </w:rPr>
              <w:t>Unexercisable</w:t>
            </w:r>
          </w:p>
        </w:tc>
        <w:tc>
          <w:tcPr>
            <w:tcW w:w="240" w:type="dxa"/>
            <w:vAlign w:val="bottom"/>
            <w:shd w:val="clear" w:color="auto" w:fill="0B4B73"/>
          </w:tcPr>
          <w:p>
            <w:pPr>
              <w:spacing w:after="0"/>
              <w:rPr>
                <w:sz w:val="11"/>
                <w:szCs w:val="11"/>
                <w:color w:val="auto"/>
              </w:rPr>
            </w:pPr>
          </w:p>
        </w:tc>
        <w:tc>
          <w:tcPr>
            <w:tcW w:w="1080" w:type="dxa"/>
            <w:vAlign w:val="bottom"/>
            <w:shd w:val="clear" w:color="auto" w:fill="0B4B73"/>
          </w:tcPr>
          <w:p>
            <w:pPr>
              <w:jc w:val="center"/>
              <w:ind w:right="201"/>
              <w:spacing w:after="0" w:line="135" w:lineRule="exact"/>
              <w:rPr>
                <w:sz w:val="20"/>
                <w:szCs w:val="20"/>
                <w:color w:val="auto"/>
              </w:rPr>
            </w:pPr>
            <w:r>
              <w:rPr>
                <w:rFonts w:ascii="Arial" w:cs="Arial" w:eastAsia="Arial" w:hAnsi="Arial"/>
                <w:sz w:val="14"/>
                <w:szCs w:val="14"/>
                <w:b w:val="1"/>
                <w:bCs w:val="1"/>
                <w:color w:val="FFFFFF"/>
              </w:rPr>
              <w:t>Per Share</w:t>
            </w:r>
          </w:p>
        </w:tc>
        <w:tc>
          <w:tcPr>
            <w:tcW w:w="106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Expiration</w:t>
            </w:r>
          </w:p>
        </w:tc>
      </w:tr>
      <w:tr>
        <w:trPr>
          <w:trHeight w:val="209"/>
        </w:trPr>
        <w:tc>
          <w:tcPr>
            <w:tcW w:w="2360" w:type="dxa"/>
            <w:vAlign w:val="bottom"/>
            <w:tcBorders>
              <w:bottom w:val="single" w:sz="8" w:color="C3D041"/>
            </w:tcBorders>
            <w:shd w:val="clear" w:color="auto" w:fill="0B4B73"/>
          </w:tcPr>
          <w:p>
            <w:pPr>
              <w:ind w:left="980"/>
              <w:spacing w:after="0"/>
              <w:rPr>
                <w:sz w:val="20"/>
                <w:szCs w:val="20"/>
                <w:color w:val="auto"/>
              </w:rPr>
            </w:pPr>
            <w:r>
              <w:rPr>
                <w:rFonts w:ascii="Arial" w:cs="Arial" w:eastAsia="Arial" w:hAnsi="Arial"/>
                <w:sz w:val="14"/>
                <w:szCs w:val="14"/>
                <w:b w:val="1"/>
                <w:bCs w:val="1"/>
                <w:color w:val="FFFFFF"/>
              </w:rPr>
              <w:t>Name</w:t>
            </w:r>
          </w:p>
        </w:tc>
        <w:tc>
          <w:tcPr>
            <w:tcW w:w="110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100" w:type="dxa"/>
            <w:vAlign w:val="bottom"/>
            <w:tcBorders>
              <w:bottom w:val="single" w:sz="8" w:color="C3D041"/>
            </w:tcBorders>
            <w:shd w:val="clear" w:color="auto" w:fill="0B4B73"/>
          </w:tcPr>
          <w:p>
            <w:pPr>
              <w:jc w:val="center"/>
              <w:ind w:left="2"/>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C3D041"/>
            </w:tcBorders>
            <w:shd w:val="clear" w:color="auto" w:fill="0B4B73"/>
          </w:tcPr>
          <w:p>
            <w:pPr>
              <w:spacing w:after="0"/>
              <w:rPr>
                <w:sz w:val="18"/>
                <w:szCs w:val="18"/>
                <w:color w:val="auto"/>
              </w:rPr>
            </w:pPr>
          </w:p>
        </w:tc>
        <w:tc>
          <w:tcPr>
            <w:tcW w:w="1140" w:type="dxa"/>
            <w:vAlign w:val="bottom"/>
            <w:tcBorders>
              <w:bottom w:val="single" w:sz="8" w:color="C3D041"/>
            </w:tcBorders>
            <w:shd w:val="clear" w:color="auto" w:fill="0B4B73"/>
          </w:tcPr>
          <w:p>
            <w:pPr>
              <w:jc w:val="center"/>
              <w:ind w:right="2"/>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C3D041"/>
            </w:tcBorders>
            <w:shd w:val="clear" w:color="auto" w:fill="0B4B73"/>
          </w:tcPr>
          <w:p>
            <w:pPr>
              <w:spacing w:after="0"/>
              <w:rPr>
                <w:sz w:val="18"/>
                <w:szCs w:val="18"/>
                <w:color w:val="auto"/>
              </w:rPr>
            </w:pPr>
          </w:p>
        </w:tc>
        <w:tc>
          <w:tcPr>
            <w:tcW w:w="1080" w:type="dxa"/>
            <w:vAlign w:val="bottom"/>
            <w:tcBorders>
              <w:bottom w:val="single" w:sz="8" w:color="C3D041"/>
            </w:tcBorders>
            <w:shd w:val="clear" w:color="auto" w:fill="0B4B73"/>
          </w:tcPr>
          <w:p>
            <w:pPr>
              <w:jc w:val="center"/>
              <w:ind w:right="201"/>
              <w:spacing w:after="0" w:line="189"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19"/>
                <w:szCs w:val="19"/>
                <w:b w:val="1"/>
                <w:bCs w:val="1"/>
                <w:color w:val="FFFFFF"/>
                <w:w w:val="85"/>
                <w:vertAlign w:val="superscript"/>
              </w:rPr>
              <w:t>(2)</w:t>
            </w:r>
          </w:p>
        </w:tc>
        <w:tc>
          <w:tcPr>
            <w:tcW w:w="106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Date</w:t>
            </w:r>
          </w:p>
        </w:tc>
      </w:tr>
      <w:tr>
        <w:trPr>
          <w:trHeight w:val="189"/>
        </w:trPr>
        <w:tc>
          <w:tcPr>
            <w:tcW w:w="2360" w:type="dxa"/>
            <w:vAlign w:val="bottom"/>
            <w:shd w:val="clear" w:color="auto" w:fill="E4EDF1"/>
          </w:tcPr>
          <w:p>
            <w:pPr>
              <w:spacing w:after="0"/>
              <w:rPr>
                <w:sz w:val="20"/>
                <w:szCs w:val="20"/>
                <w:color w:val="auto"/>
              </w:rPr>
            </w:pPr>
            <w:r>
              <w:rPr>
                <w:rFonts w:ascii="Arial" w:cs="Arial" w:eastAsia="Arial" w:hAnsi="Arial"/>
                <w:sz w:val="16"/>
                <w:szCs w:val="16"/>
                <w:color w:val="auto"/>
              </w:rPr>
              <w:t>Richard Lowenthal, M.S., MSEL</w:t>
            </w: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12/17/2019</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117,333</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(3)</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0.84</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12/16/2029</w:t>
            </w:r>
          </w:p>
        </w:tc>
      </w:tr>
      <w:tr>
        <w:trPr>
          <w:trHeight w:val="189"/>
        </w:trPr>
        <w:tc>
          <w:tcPr>
            <w:tcW w:w="23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12/14/2021</w:t>
            </w:r>
          </w:p>
        </w:tc>
        <w:tc>
          <w:tcPr>
            <w:tcW w:w="1100" w:type="dxa"/>
            <w:vAlign w:val="bottom"/>
          </w:tcPr>
          <w:p>
            <w:pPr>
              <w:jc w:val="right"/>
              <w:spacing w:after="0"/>
              <w:rPr>
                <w:sz w:val="20"/>
                <w:szCs w:val="20"/>
                <w:color w:val="auto"/>
              </w:rPr>
            </w:pPr>
            <w:r>
              <w:rPr>
                <w:rFonts w:ascii="Arial" w:cs="Arial" w:eastAsia="Arial" w:hAnsi="Arial"/>
                <w:sz w:val="16"/>
                <w:szCs w:val="16"/>
                <w:color w:val="auto"/>
              </w:rPr>
              <w:t>166,936</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1.44</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12/13/2031</w:t>
            </w:r>
          </w:p>
        </w:tc>
      </w:tr>
      <w:tr>
        <w:trPr>
          <w:trHeight w:val="189"/>
        </w:trPr>
        <w:tc>
          <w:tcPr>
            <w:tcW w:w="2360" w:type="dxa"/>
            <w:vAlign w:val="bottom"/>
            <w:shd w:val="clear" w:color="auto" w:fill="E4EDF1"/>
          </w:tcPr>
          <w:p>
            <w:pPr>
              <w:spacing w:after="0"/>
              <w:rPr>
                <w:sz w:val="16"/>
                <w:szCs w:val="16"/>
                <w:color w:val="auto"/>
              </w:rPr>
            </w:pP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1/3/2023</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790,207</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(4)</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297,917</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8.42</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1/2/2033</w:t>
            </w:r>
          </w:p>
        </w:tc>
      </w:tr>
      <w:tr>
        <w:trPr>
          <w:trHeight w:val="189"/>
        </w:trPr>
        <w:tc>
          <w:tcPr>
            <w:tcW w:w="23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1/2/2024</w:t>
            </w:r>
          </w:p>
        </w:tc>
        <w:tc>
          <w:tcPr>
            <w:tcW w:w="1100" w:type="dxa"/>
            <w:vAlign w:val="bottom"/>
          </w:tcPr>
          <w:p>
            <w:pPr>
              <w:jc w:val="right"/>
              <w:spacing w:after="0"/>
              <w:rPr>
                <w:sz w:val="20"/>
                <w:szCs w:val="20"/>
                <w:color w:val="auto"/>
              </w:rPr>
            </w:pPr>
            <w:r>
              <w:rPr>
                <w:rFonts w:ascii="Arial" w:cs="Arial" w:eastAsia="Arial" w:hAnsi="Arial"/>
                <w:sz w:val="16"/>
                <w:szCs w:val="16"/>
                <w:color w:val="auto"/>
              </w:rPr>
              <w:t>421,666</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458,334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5.58</w:t>
            </w:r>
          </w:p>
        </w:tc>
        <w:tc>
          <w:tcPr>
            <w:tcW w:w="1060" w:type="dxa"/>
            <w:vAlign w:val="bottom"/>
          </w:tcPr>
          <w:p>
            <w:pPr>
              <w:jc w:val="center"/>
              <w:spacing w:after="0"/>
              <w:rPr>
                <w:sz w:val="20"/>
                <w:szCs w:val="20"/>
                <w:color w:val="auto"/>
              </w:rPr>
            </w:pPr>
            <w:r>
              <w:rPr>
                <w:rFonts w:ascii="Arial" w:cs="Arial" w:eastAsia="Arial" w:hAnsi="Arial"/>
                <w:sz w:val="16"/>
                <w:szCs w:val="16"/>
                <w:color w:val="auto"/>
              </w:rPr>
              <w:t>1/1/2034</w:t>
            </w:r>
          </w:p>
        </w:tc>
      </w:tr>
      <w:tr>
        <w:trPr>
          <w:trHeight w:val="189"/>
        </w:trPr>
        <w:tc>
          <w:tcPr>
            <w:tcW w:w="2360" w:type="dxa"/>
            <w:vAlign w:val="bottom"/>
            <w:shd w:val="clear" w:color="auto" w:fill="E4EDF1"/>
          </w:tcPr>
          <w:p>
            <w:pPr>
              <w:spacing w:after="0"/>
              <w:rPr>
                <w:sz w:val="16"/>
                <w:szCs w:val="16"/>
                <w:color w:val="auto"/>
              </w:rPr>
            </w:pP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1/2/2025</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175,908</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(6)</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591,692</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10.71</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1/1/2035</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Sarina Tanimoto, M.D., M.B.A.</w:t>
            </w:r>
          </w:p>
        </w:tc>
        <w:tc>
          <w:tcPr>
            <w:tcW w:w="1100" w:type="dxa"/>
            <w:vAlign w:val="bottom"/>
          </w:tcPr>
          <w:p>
            <w:pPr>
              <w:jc w:val="center"/>
              <w:spacing w:after="0"/>
              <w:rPr>
                <w:sz w:val="20"/>
                <w:szCs w:val="20"/>
                <w:color w:val="auto"/>
              </w:rPr>
            </w:pPr>
            <w:r>
              <w:rPr>
                <w:rFonts w:ascii="Arial" w:cs="Arial" w:eastAsia="Arial" w:hAnsi="Arial"/>
                <w:sz w:val="16"/>
                <w:szCs w:val="16"/>
                <w:color w:val="auto"/>
              </w:rPr>
              <w:t>12/14/2021</w:t>
            </w:r>
          </w:p>
        </w:tc>
        <w:tc>
          <w:tcPr>
            <w:tcW w:w="1100" w:type="dxa"/>
            <w:vAlign w:val="bottom"/>
          </w:tcPr>
          <w:p>
            <w:pPr>
              <w:jc w:val="right"/>
              <w:spacing w:after="0"/>
              <w:rPr>
                <w:sz w:val="20"/>
                <w:szCs w:val="20"/>
                <w:color w:val="auto"/>
              </w:rPr>
            </w:pPr>
            <w:r>
              <w:rPr>
                <w:rFonts w:ascii="Arial" w:cs="Arial" w:eastAsia="Arial" w:hAnsi="Arial"/>
                <w:sz w:val="16"/>
                <w:szCs w:val="16"/>
                <w:color w:val="auto"/>
              </w:rPr>
              <w:t>20,684</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1.44</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12/13/2031</w:t>
            </w:r>
          </w:p>
        </w:tc>
      </w:tr>
      <w:tr>
        <w:trPr>
          <w:trHeight w:val="189"/>
        </w:trPr>
        <w:tc>
          <w:tcPr>
            <w:tcW w:w="2360" w:type="dxa"/>
            <w:vAlign w:val="bottom"/>
            <w:shd w:val="clear" w:color="auto" w:fill="E4EDF1"/>
          </w:tcPr>
          <w:p>
            <w:pPr>
              <w:spacing w:after="0"/>
              <w:rPr>
                <w:sz w:val="16"/>
                <w:szCs w:val="16"/>
                <w:color w:val="auto"/>
              </w:rPr>
            </w:pP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1/3/2023</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243,332</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(4)</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94,792</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8.42</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1/2/2033</w:t>
            </w:r>
          </w:p>
        </w:tc>
      </w:tr>
      <w:tr>
        <w:trPr>
          <w:trHeight w:val="189"/>
        </w:trPr>
        <w:tc>
          <w:tcPr>
            <w:tcW w:w="23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1/2/2024</w:t>
            </w:r>
          </w:p>
        </w:tc>
        <w:tc>
          <w:tcPr>
            <w:tcW w:w="1100" w:type="dxa"/>
            <w:vAlign w:val="bottom"/>
          </w:tcPr>
          <w:p>
            <w:pPr>
              <w:jc w:val="right"/>
              <w:spacing w:after="0"/>
              <w:rPr>
                <w:sz w:val="20"/>
                <w:szCs w:val="20"/>
                <w:color w:val="auto"/>
              </w:rPr>
            </w:pPr>
            <w:r>
              <w:rPr>
                <w:rFonts w:ascii="Arial" w:cs="Arial" w:eastAsia="Arial" w:hAnsi="Arial"/>
                <w:sz w:val="16"/>
                <w:szCs w:val="16"/>
                <w:color w:val="auto"/>
              </w:rPr>
              <w:t>143,750</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156,250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5.58</w:t>
            </w:r>
          </w:p>
        </w:tc>
        <w:tc>
          <w:tcPr>
            <w:tcW w:w="1060" w:type="dxa"/>
            <w:vAlign w:val="bottom"/>
          </w:tcPr>
          <w:p>
            <w:pPr>
              <w:jc w:val="center"/>
              <w:spacing w:after="0"/>
              <w:rPr>
                <w:sz w:val="20"/>
                <w:szCs w:val="20"/>
                <w:color w:val="auto"/>
              </w:rPr>
            </w:pPr>
            <w:r>
              <w:rPr>
                <w:rFonts w:ascii="Arial" w:cs="Arial" w:eastAsia="Arial" w:hAnsi="Arial"/>
                <w:sz w:val="16"/>
                <w:szCs w:val="16"/>
                <w:color w:val="auto"/>
              </w:rPr>
              <w:t>1/1/2034</w:t>
            </w:r>
          </w:p>
        </w:tc>
      </w:tr>
      <w:tr>
        <w:trPr>
          <w:trHeight w:val="189"/>
        </w:trPr>
        <w:tc>
          <w:tcPr>
            <w:tcW w:w="2360" w:type="dxa"/>
            <w:vAlign w:val="bottom"/>
            <w:shd w:val="clear" w:color="auto" w:fill="E4EDF1"/>
          </w:tcPr>
          <w:p>
            <w:pPr>
              <w:spacing w:after="0"/>
              <w:rPr>
                <w:sz w:val="16"/>
                <w:szCs w:val="16"/>
                <w:color w:val="auto"/>
              </w:rPr>
            </w:pP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1/2/2025</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60,018</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(6)</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201,882</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10.71</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1/1/2035</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Justin Chakma</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7/5/2019</w:t>
            </w:r>
          </w:p>
        </w:tc>
        <w:tc>
          <w:tcPr>
            <w:tcW w:w="1100" w:type="dxa"/>
            <w:vAlign w:val="bottom"/>
          </w:tcPr>
          <w:p>
            <w:pPr>
              <w:jc w:val="right"/>
              <w:spacing w:after="0"/>
              <w:rPr>
                <w:sz w:val="20"/>
                <w:szCs w:val="20"/>
                <w:color w:val="auto"/>
              </w:rPr>
            </w:pPr>
            <w:r>
              <w:rPr>
                <w:rFonts w:ascii="Arial" w:cs="Arial" w:eastAsia="Arial" w:hAnsi="Arial"/>
                <w:sz w:val="16"/>
                <w:szCs w:val="16"/>
                <w:color w:val="auto"/>
              </w:rPr>
              <w:t>89,047</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0.84</w:t>
            </w:r>
          </w:p>
        </w:tc>
        <w:tc>
          <w:tcPr>
            <w:tcW w:w="1060" w:type="dxa"/>
            <w:vAlign w:val="bottom"/>
          </w:tcPr>
          <w:p>
            <w:pPr>
              <w:jc w:val="center"/>
              <w:spacing w:after="0"/>
              <w:rPr>
                <w:sz w:val="20"/>
                <w:szCs w:val="20"/>
                <w:color w:val="auto"/>
              </w:rPr>
            </w:pPr>
            <w:r>
              <w:rPr>
                <w:rFonts w:ascii="Arial" w:cs="Arial" w:eastAsia="Arial" w:hAnsi="Arial"/>
                <w:sz w:val="16"/>
                <w:szCs w:val="16"/>
                <w:color w:val="auto"/>
              </w:rPr>
              <w:t>7/4/2029</w:t>
            </w:r>
          </w:p>
        </w:tc>
      </w:tr>
      <w:tr>
        <w:trPr>
          <w:trHeight w:val="189"/>
        </w:trPr>
        <w:tc>
          <w:tcPr>
            <w:tcW w:w="2360" w:type="dxa"/>
            <w:vAlign w:val="bottom"/>
            <w:shd w:val="clear" w:color="auto" w:fill="E4EDF1"/>
          </w:tcPr>
          <w:p>
            <w:pPr>
              <w:spacing w:after="0"/>
              <w:rPr>
                <w:sz w:val="16"/>
                <w:szCs w:val="16"/>
                <w:color w:val="auto"/>
              </w:rPr>
            </w:pP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12/14/2021</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55,461</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(3)</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1.44</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12/13/2031</w:t>
            </w:r>
          </w:p>
        </w:tc>
      </w:tr>
      <w:tr>
        <w:trPr>
          <w:trHeight w:val="189"/>
        </w:trPr>
        <w:tc>
          <w:tcPr>
            <w:tcW w:w="23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1/3/2023</w:t>
            </w:r>
          </w:p>
        </w:tc>
        <w:tc>
          <w:tcPr>
            <w:tcW w:w="1100" w:type="dxa"/>
            <w:vAlign w:val="bottom"/>
          </w:tcPr>
          <w:p>
            <w:pPr>
              <w:jc w:val="right"/>
              <w:spacing w:after="0"/>
              <w:rPr>
                <w:sz w:val="20"/>
                <w:szCs w:val="20"/>
                <w:color w:val="auto"/>
              </w:rPr>
            </w:pPr>
            <w:r>
              <w:rPr>
                <w:rFonts w:ascii="Arial" w:cs="Arial" w:eastAsia="Arial" w:hAnsi="Arial"/>
                <w:sz w:val="16"/>
                <w:szCs w:val="16"/>
                <w:color w:val="auto"/>
              </w:rPr>
              <w:t>120,312</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44,688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8.42</w:t>
            </w:r>
          </w:p>
        </w:tc>
        <w:tc>
          <w:tcPr>
            <w:tcW w:w="1060" w:type="dxa"/>
            <w:vAlign w:val="bottom"/>
          </w:tcPr>
          <w:p>
            <w:pPr>
              <w:jc w:val="center"/>
              <w:spacing w:after="0"/>
              <w:rPr>
                <w:sz w:val="20"/>
                <w:szCs w:val="20"/>
                <w:color w:val="auto"/>
              </w:rPr>
            </w:pPr>
            <w:r>
              <w:rPr>
                <w:rFonts w:ascii="Arial" w:cs="Arial" w:eastAsia="Arial" w:hAnsi="Arial"/>
                <w:sz w:val="16"/>
                <w:szCs w:val="16"/>
                <w:color w:val="auto"/>
              </w:rPr>
              <w:t>1/2/2033</w:t>
            </w:r>
          </w:p>
        </w:tc>
      </w:tr>
      <w:tr>
        <w:trPr>
          <w:trHeight w:val="189"/>
        </w:trPr>
        <w:tc>
          <w:tcPr>
            <w:tcW w:w="2360" w:type="dxa"/>
            <w:vAlign w:val="bottom"/>
            <w:shd w:val="clear" w:color="auto" w:fill="E4EDF1"/>
          </w:tcPr>
          <w:p>
            <w:pPr>
              <w:spacing w:after="0"/>
              <w:rPr>
                <w:sz w:val="16"/>
                <w:szCs w:val="16"/>
                <w:color w:val="auto"/>
              </w:rPr>
            </w:pPr>
          </w:p>
        </w:tc>
        <w:tc>
          <w:tcPr>
            <w:tcW w:w="1100" w:type="dxa"/>
            <w:vAlign w:val="bottom"/>
            <w:shd w:val="clear" w:color="auto" w:fill="E4EDF1"/>
          </w:tcPr>
          <w:p>
            <w:pPr>
              <w:jc w:val="center"/>
              <w:spacing w:after="0"/>
              <w:rPr>
                <w:sz w:val="20"/>
                <w:szCs w:val="20"/>
                <w:color w:val="auto"/>
              </w:rPr>
            </w:pPr>
            <w:r>
              <w:rPr>
                <w:rFonts w:ascii="Arial" w:cs="Arial" w:eastAsia="Arial" w:hAnsi="Arial"/>
                <w:sz w:val="16"/>
                <w:szCs w:val="16"/>
                <w:color w:val="auto"/>
                <w:w w:val="99"/>
              </w:rPr>
              <w:t>1/2/2024</w:t>
            </w:r>
          </w:p>
        </w:tc>
        <w:tc>
          <w:tcPr>
            <w:tcW w:w="11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167,708</w:t>
            </w:r>
          </w:p>
        </w:tc>
        <w:tc>
          <w:tcPr>
            <w:tcW w:w="340" w:type="dxa"/>
            <w:vAlign w:val="bottom"/>
            <w:shd w:val="clear" w:color="auto" w:fill="E4EDF1"/>
          </w:tcPr>
          <w:p>
            <w:pPr>
              <w:jc w:val="right"/>
              <w:ind w:right="66"/>
              <w:spacing w:after="0"/>
              <w:rPr>
                <w:sz w:val="20"/>
                <w:szCs w:val="20"/>
                <w:color w:val="auto"/>
              </w:rPr>
            </w:pPr>
            <w:r>
              <w:rPr>
                <w:rFonts w:ascii="Arial" w:cs="Arial" w:eastAsia="Arial" w:hAnsi="Arial"/>
                <w:sz w:val="11"/>
                <w:szCs w:val="11"/>
                <w:color w:val="auto"/>
              </w:rPr>
              <w:t>(8)</w:t>
            </w:r>
          </w:p>
        </w:tc>
        <w:tc>
          <w:tcPr>
            <w:tcW w:w="1140" w:type="dxa"/>
            <w:vAlign w:val="bottom"/>
            <w:shd w:val="clear" w:color="auto" w:fill="E4EDF1"/>
          </w:tcPr>
          <w:p>
            <w:pPr>
              <w:jc w:val="right"/>
              <w:ind w:right="2"/>
              <w:spacing w:after="0"/>
              <w:rPr>
                <w:sz w:val="20"/>
                <w:szCs w:val="20"/>
                <w:color w:val="auto"/>
              </w:rPr>
            </w:pPr>
            <w:r>
              <w:rPr>
                <w:rFonts w:ascii="Arial" w:cs="Arial" w:eastAsia="Arial" w:hAnsi="Arial"/>
                <w:sz w:val="16"/>
                <w:szCs w:val="16"/>
                <w:color w:val="auto"/>
              </w:rPr>
              <w:t>182,292</w:t>
            </w:r>
          </w:p>
        </w:tc>
        <w:tc>
          <w:tcPr>
            <w:tcW w:w="2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DF1"/>
          </w:tcPr>
          <w:p>
            <w:pPr>
              <w:jc w:val="right"/>
              <w:ind w:right="61"/>
              <w:spacing w:after="0"/>
              <w:rPr>
                <w:sz w:val="20"/>
                <w:szCs w:val="20"/>
                <w:color w:val="auto"/>
              </w:rPr>
            </w:pPr>
            <w:r>
              <w:rPr>
                <w:rFonts w:ascii="Arial" w:cs="Arial" w:eastAsia="Arial" w:hAnsi="Arial"/>
                <w:sz w:val="16"/>
                <w:szCs w:val="16"/>
                <w:color w:val="auto"/>
              </w:rPr>
              <w:t>5.58</w:t>
            </w:r>
          </w:p>
        </w:tc>
        <w:tc>
          <w:tcPr>
            <w:tcW w:w="10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1/1/2034</w:t>
            </w:r>
          </w:p>
        </w:tc>
      </w:tr>
      <w:tr>
        <w:trPr>
          <w:trHeight w:val="215"/>
        </w:trPr>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1/2/2025</w:t>
            </w:r>
          </w:p>
        </w:tc>
        <w:tc>
          <w:tcPr>
            <w:tcW w:w="1100" w:type="dxa"/>
            <w:vAlign w:val="bottom"/>
          </w:tcPr>
          <w:p>
            <w:pPr>
              <w:jc w:val="right"/>
              <w:spacing w:after="0"/>
              <w:rPr>
                <w:sz w:val="20"/>
                <w:szCs w:val="20"/>
                <w:color w:val="auto"/>
              </w:rPr>
            </w:pPr>
            <w:r>
              <w:rPr>
                <w:rFonts w:ascii="Arial" w:cs="Arial" w:eastAsia="Arial" w:hAnsi="Arial"/>
                <w:sz w:val="16"/>
                <w:szCs w:val="16"/>
                <w:color w:val="auto"/>
              </w:rPr>
              <w:t>62,814</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211,286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10.71</w:t>
            </w:r>
          </w:p>
        </w:tc>
        <w:tc>
          <w:tcPr>
            <w:tcW w:w="1060" w:type="dxa"/>
            <w:vAlign w:val="bottom"/>
          </w:tcPr>
          <w:p>
            <w:pPr>
              <w:jc w:val="center"/>
              <w:spacing w:after="0"/>
              <w:rPr>
                <w:sz w:val="20"/>
                <w:szCs w:val="20"/>
                <w:color w:val="auto"/>
              </w:rPr>
            </w:pPr>
            <w:r>
              <w:rPr>
                <w:rFonts w:ascii="Arial" w:cs="Arial" w:eastAsia="Arial" w:hAnsi="Arial"/>
                <w:sz w:val="16"/>
                <w:szCs w:val="16"/>
                <w:color w:val="auto"/>
              </w:rPr>
              <w:t>1/1/2035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86360</wp:posOffset>
            </wp:positionV>
            <wp:extent cx="1234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5" w:lineRule="exact"/>
        <w:rPr>
          <w:sz w:val="20"/>
          <w:szCs w:val="20"/>
          <w:color w:val="auto"/>
        </w:rPr>
      </w:pPr>
    </w:p>
    <w:p>
      <w:pPr>
        <w:jc w:val="both"/>
        <w:ind w:left="740" w:right="299" w:hanging="448"/>
        <w:spacing w:after="0" w:line="246"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Option awards listed for Mr. Lowenthal, Dr. Tanimoto, and Mr. Chakma granted prior to November 2022 reflect option awards that were granted under the ARS Pharmaceuticals Operations, Inc. 2018 Equity Incentive Plan (the “Private ARS Pharma 2018 Plan”), as adjusted in accordance with the November 2022 merger transaction. Upon the closing of such merger, we assumed the Private ARS Pharma 2018 Plan and each outstanding and unexercised option granted under the Private ARS Pharma 2018 Plan (the “Private ARS Pharma Options”). At the effective time of the merger, each Private ARS Pharma Option was converted into an option to purchase a number of shares of our common stock determined by multiplying the number of shares of Private ARS Pharma common stock that were subject to such Private ARS Pharma Option by 1.1819, and rounding the resulting number down to the nearest whole number of shares of our common stock, and the per share exercise price determined by dividing the per share exercise price of such Private ARS Pharma Option by 1.1819, and rounding the resulting exercise price up to the nearest whole cent.</w:t>
      </w:r>
    </w:p>
    <w:p>
      <w:pPr>
        <w:spacing w:after="0" w:line="23" w:lineRule="exact"/>
        <w:rPr>
          <w:rFonts w:ascii="Arial" w:cs="Arial" w:eastAsia="Arial" w:hAnsi="Arial"/>
          <w:sz w:val="14"/>
          <w:szCs w:val="14"/>
          <w:color w:val="auto"/>
        </w:rPr>
      </w:pPr>
    </w:p>
    <w:p>
      <w:pPr>
        <w:jc w:val="both"/>
        <w:ind w:left="740" w:right="299" w:hanging="448"/>
        <w:spacing w:after="0" w:line="252"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Option awards listed for Mr. Lowenthal, Dr. Tanimoto, and Mr. Chakma prior to the November 2022 merger were granted with a per share exercise price equal to the fair market value of Private ARS Pharma common stock on the grant date, as determined in good faith by the board of directors of Private ARS Pharma. Option awards listed for Mr. Lowenthal, Dr. Tanimoto and Mr. Chakma after the November 2022 merger were granted with a per share exercise price equal to the closing price of ARS Pharma’s common stock on the Nasdaq Global Market on the grant date.</w:t>
      </w:r>
    </w:p>
    <w:p>
      <w:pPr>
        <w:spacing w:after="0" w:line="18" w:lineRule="exact"/>
        <w:rPr>
          <w:rFonts w:ascii="Arial" w:cs="Arial" w:eastAsia="Arial" w:hAnsi="Arial"/>
          <w:sz w:val="14"/>
          <w:szCs w:val="14"/>
          <w:color w:val="auto"/>
        </w:rPr>
      </w:pPr>
    </w:p>
    <w:p>
      <w:pPr>
        <w:ind w:left="740" w:hanging="44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option has fully vested in accordance with its terms.</w:t>
      </w:r>
    </w:p>
    <w:p>
      <w:pPr>
        <w:spacing w:after="0" w:line="55" w:lineRule="exact"/>
        <w:rPr>
          <w:rFonts w:ascii="Arial" w:cs="Arial" w:eastAsia="Arial" w:hAnsi="Arial"/>
          <w:sz w:val="14"/>
          <w:szCs w:val="14"/>
          <w:color w:val="auto"/>
        </w:rPr>
      </w:pPr>
    </w:p>
    <w:p>
      <w:pPr>
        <w:jc w:val="both"/>
        <w:ind w:left="740" w:right="299" w:hanging="448"/>
        <w:spacing w:after="0" w:line="252"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option vests over four years, with 1/4 vesting on the first anniversary of the vesting commencement date of January 1, 2023, and the remainder vesting in 36 equal monthly installments, subject to continued service through each such vesting date. In addition, the option is subject to accelerated vesting upon executive’s termination by us without cause or the executive’s resignation for good reason pursuant to the provisions of executive’s employment agreement with us. See “— Employment Agreements” above for more information.</w:t>
      </w:r>
    </w:p>
    <w:p>
      <w:pPr>
        <w:spacing w:after="0" w:line="18" w:lineRule="exact"/>
        <w:rPr>
          <w:rFonts w:ascii="Arial" w:cs="Arial" w:eastAsia="Arial" w:hAnsi="Arial"/>
          <w:sz w:val="14"/>
          <w:szCs w:val="14"/>
          <w:color w:val="auto"/>
        </w:rPr>
      </w:pPr>
    </w:p>
    <w:p>
      <w:pPr>
        <w:jc w:val="both"/>
        <w:ind w:left="740" w:right="299" w:hanging="448"/>
        <w:spacing w:after="0" w:line="252"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option vests over four years, with 1/4 vesting on the first anniversary of the vesting commencement date of January 1, 2024, and the remainder vesting in 36 equal monthly installments, subject to continued service through each such vesting date. In addition, the option is subject to accelerated vesting upon executive’s termination by us without cause or the executive’s resignation for good reason pursuant to the provisions of executive’s employment agreement with us. See “— Employment Agreements” above for more information.</w:t>
      </w:r>
    </w:p>
    <w:p>
      <w:pPr>
        <w:spacing w:after="0" w:line="18"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option vests over four years, with 1/48th vesting monthly from the vesting commencement date of January 1, 2025, subject to continued service through each such vesting date. In addition, the option is subject to accelerated vesting upon executive’s termination by us without cause or the executive’s resignation for good reason pursuant to the provisions of executive’s employment agreement with us. See “—Employment Agreements” above for more information.</w:t>
      </w:r>
    </w:p>
    <w:p>
      <w:pPr>
        <w:spacing w:after="0" w:line="15" w:lineRule="exact"/>
        <w:rPr>
          <w:rFonts w:ascii="Arial" w:cs="Arial" w:eastAsia="Arial" w:hAnsi="Arial"/>
          <w:sz w:val="14"/>
          <w:szCs w:val="14"/>
          <w:color w:val="auto"/>
        </w:rPr>
      </w:pPr>
    </w:p>
    <w:p>
      <w:pPr>
        <w:jc w:val="both"/>
        <w:ind w:left="740" w:right="299" w:hanging="448"/>
        <w:spacing w:after="0" w:line="271"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option vests over four years, with 1/4 vesting on the first anniversary of the vesting commencement date of January 1, 2023, and the remainder vesting in 36 equal monthly installments, subject to continued service through each such vesting date.</w:t>
      </w:r>
    </w:p>
    <w:p>
      <w:pPr>
        <w:spacing w:after="0" w:line="176" w:lineRule="exact"/>
        <w:rPr>
          <w:rFonts w:ascii="Arial" w:cs="Arial" w:eastAsia="Arial" w:hAnsi="Arial"/>
          <w:sz w:val="14"/>
          <w:szCs w:val="14"/>
          <w:color w:val="auto"/>
        </w:rPr>
      </w:pPr>
    </w:p>
    <w:p>
      <w:pPr>
        <w:jc w:val="both"/>
        <w:ind w:left="740" w:right="299" w:hanging="448"/>
        <w:spacing w:after="0" w:line="271"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option vests over four years, with 1/4 vesting on the first anniversary of the vesting commencement date of January 1, 2024, and the remainder vesting in 36 equal monthly installments, subject to continued service through each such vesting 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ind w:left="740" w:right="319" w:hanging="448"/>
        <w:spacing w:after="0" w:line="285" w:lineRule="auto"/>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option vests over four years, with 1/48th vesting monthly commencing from the vesting commencement date of January 1, 2025, subject to continued service through each such vesting date.</w:t>
      </w:r>
    </w:p>
    <w:p>
      <w:pPr>
        <w:spacing w:after="0" w:line="148"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Options held by our Named Executive Officers are eligible for accelerated vesting under specified circumstances. Please see the subsection titled “—Potential Payments Upon Termination or Change in Control” above for a description of such potential acceleration.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6" w:right="1440" w:bottom="1440" w:gutter="0" w:footer="0" w:header="0"/>
        </w:sectPr>
      </w:pPr>
    </w:p>
    <w:bookmarkStart w:id="55" w:name="page56"/>
    <w:bookmarkEnd w:id="55"/>
    <w:p>
      <w:pPr>
        <w:spacing w:after="0" w:line="182"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B4B73"/>
        </w:rPr>
        <w:t>Pay Versus Performance</w:t>
      </w:r>
    </w:p>
    <w:p>
      <w:pPr>
        <w:spacing w:after="0" w:line="129"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9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76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300" w:type="dxa"/>
            <w:vAlign w:val="bottom"/>
            <w:shd w:val="clear" w:color="auto" w:fill="0B4B73"/>
          </w:tcPr>
          <w:p>
            <w:pPr>
              <w:spacing w:after="0"/>
              <w:rPr>
                <w:sz w:val="14"/>
                <w:szCs w:val="14"/>
                <w:color w:val="auto"/>
              </w:rPr>
            </w:pPr>
          </w:p>
        </w:tc>
        <w:tc>
          <w:tcPr>
            <w:tcW w:w="1340" w:type="dxa"/>
            <w:vAlign w:val="bottom"/>
            <w:shd w:val="clear" w:color="auto" w:fill="0B4B73"/>
          </w:tcPr>
          <w:p>
            <w:pPr>
              <w:jc w:val="center"/>
              <w:ind w:left="6"/>
              <w:spacing w:after="0"/>
              <w:rPr>
                <w:sz w:val="20"/>
                <w:szCs w:val="20"/>
                <w:color w:val="auto"/>
              </w:rPr>
            </w:pPr>
            <w:r>
              <w:rPr>
                <w:rFonts w:ascii="Arial" w:cs="Arial" w:eastAsia="Arial" w:hAnsi="Arial"/>
                <w:sz w:val="14"/>
                <w:szCs w:val="14"/>
                <w:b w:val="1"/>
                <w:bCs w:val="1"/>
                <w:color w:val="FFFFFF"/>
              </w:rPr>
              <w:t>Average</w:t>
            </w:r>
          </w:p>
        </w:tc>
        <w:tc>
          <w:tcPr>
            <w:tcW w:w="1260" w:type="dxa"/>
            <w:vAlign w:val="bottom"/>
            <w:shd w:val="clear" w:color="auto" w:fill="0B4B73"/>
          </w:tcPr>
          <w:p>
            <w:pPr>
              <w:spacing w:after="0"/>
              <w:rPr>
                <w:sz w:val="14"/>
                <w:szCs w:val="14"/>
                <w:color w:val="auto"/>
              </w:rPr>
            </w:pPr>
          </w:p>
        </w:tc>
        <w:tc>
          <w:tcPr>
            <w:tcW w:w="1220" w:type="dxa"/>
            <w:vAlign w:val="bottom"/>
            <w:shd w:val="clear" w:color="auto" w:fill="0B4B73"/>
          </w:tcPr>
          <w:p>
            <w:pPr>
              <w:spacing w:after="0"/>
              <w:rPr>
                <w:sz w:val="14"/>
                <w:szCs w:val="14"/>
                <w:color w:val="auto"/>
              </w:rPr>
            </w:pPr>
          </w:p>
        </w:tc>
        <w:tc>
          <w:tcPr>
            <w:tcW w:w="1340" w:type="dxa"/>
            <w:vAlign w:val="bottom"/>
            <w:shd w:val="clear" w:color="auto" w:fill="0B4B73"/>
          </w:tcPr>
          <w:p>
            <w:pPr>
              <w:spacing w:after="0"/>
              <w:rPr>
                <w:sz w:val="14"/>
                <w:szCs w:val="14"/>
                <w:color w:val="auto"/>
              </w:rPr>
            </w:pPr>
          </w:p>
        </w:tc>
      </w:tr>
      <w:tr>
        <w:trPr>
          <w:trHeight w:val="162"/>
        </w:trPr>
        <w:tc>
          <w:tcPr>
            <w:tcW w:w="76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300" w:type="dxa"/>
            <w:vAlign w:val="bottom"/>
            <w:shd w:val="clear" w:color="auto" w:fill="0B4B73"/>
          </w:tcPr>
          <w:p>
            <w:pPr>
              <w:spacing w:after="0"/>
              <w:rPr>
                <w:sz w:val="14"/>
                <w:szCs w:val="14"/>
                <w:color w:val="auto"/>
              </w:rPr>
            </w:pPr>
          </w:p>
        </w:tc>
        <w:tc>
          <w:tcPr>
            <w:tcW w:w="1340" w:type="dxa"/>
            <w:vAlign w:val="bottom"/>
            <w:shd w:val="clear" w:color="auto" w:fill="0B4B73"/>
          </w:tcPr>
          <w:p>
            <w:pPr>
              <w:jc w:val="center"/>
              <w:ind w:left="6"/>
              <w:spacing w:after="0"/>
              <w:rPr>
                <w:sz w:val="20"/>
                <w:szCs w:val="20"/>
                <w:color w:val="auto"/>
              </w:rPr>
            </w:pPr>
            <w:r>
              <w:rPr>
                <w:rFonts w:ascii="Arial" w:cs="Arial" w:eastAsia="Arial" w:hAnsi="Arial"/>
                <w:sz w:val="14"/>
                <w:szCs w:val="14"/>
                <w:b w:val="1"/>
                <w:bCs w:val="1"/>
                <w:color w:val="FFFFFF"/>
              </w:rPr>
              <w:t>Summary</w:t>
            </w:r>
          </w:p>
        </w:tc>
        <w:tc>
          <w:tcPr>
            <w:tcW w:w="12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Average</w:t>
            </w:r>
          </w:p>
        </w:tc>
        <w:tc>
          <w:tcPr>
            <w:tcW w:w="12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Value of Initial</w:t>
            </w:r>
          </w:p>
        </w:tc>
        <w:tc>
          <w:tcPr>
            <w:tcW w:w="1340" w:type="dxa"/>
            <w:vAlign w:val="bottom"/>
            <w:shd w:val="clear" w:color="auto" w:fill="0B4B73"/>
          </w:tcPr>
          <w:p>
            <w:pPr>
              <w:spacing w:after="0"/>
              <w:rPr>
                <w:sz w:val="14"/>
                <w:szCs w:val="14"/>
                <w:color w:val="auto"/>
              </w:rPr>
            </w:pPr>
          </w:p>
        </w:tc>
      </w:tr>
      <w:tr>
        <w:trPr>
          <w:trHeight w:val="162"/>
        </w:trPr>
        <w:tc>
          <w:tcPr>
            <w:tcW w:w="76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300" w:type="dxa"/>
            <w:vAlign w:val="bottom"/>
            <w:shd w:val="clear" w:color="auto" w:fill="0B4B73"/>
          </w:tcPr>
          <w:p>
            <w:pPr>
              <w:spacing w:after="0"/>
              <w:rPr>
                <w:sz w:val="14"/>
                <w:szCs w:val="14"/>
                <w:color w:val="auto"/>
              </w:rPr>
            </w:pPr>
          </w:p>
        </w:tc>
        <w:tc>
          <w:tcPr>
            <w:tcW w:w="13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Compensation</w:t>
            </w:r>
          </w:p>
        </w:tc>
        <w:tc>
          <w:tcPr>
            <w:tcW w:w="12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Fixed $100</w:t>
            </w:r>
          </w:p>
        </w:tc>
        <w:tc>
          <w:tcPr>
            <w:tcW w:w="1340" w:type="dxa"/>
            <w:vAlign w:val="bottom"/>
            <w:shd w:val="clear" w:color="auto" w:fill="0B4B73"/>
          </w:tcPr>
          <w:p>
            <w:pPr>
              <w:spacing w:after="0"/>
              <w:rPr>
                <w:sz w:val="14"/>
                <w:szCs w:val="14"/>
                <w:color w:val="auto"/>
              </w:rPr>
            </w:pPr>
          </w:p>
        </w:tc>
      </w:tr>
      <w:tr>
        <w:trPr>
          <w:trHeight w:val="162"/>
        </w:trPr>
        <w:tc>
          <w:tcPr>
            <w:tcW w:w="760" w:type="dxa"/>
            <w:vAlign w:val="bottom"/>
            <w:shd w:val="clear" w:color="auto" w:fill="0B4B73"/>
          </w:tcPr>
          <w:p>
            <w:pPr>
              <w:spacing w:after="0"/>
              <w:rPr>
                <w:sz w:val="14"/>
                <w:szCs w:val="14"/>
                <w:color w:val="auto"/>
              </w:rPr>
            </w:pPr>
          </w:p>
        </w:tc>
        <w:tc>
          <w:tcPr>
            <w:tcW w:w="1200" w:type="dxa"/>
            <w:vAlign w:val="bottom"/>
            <w:shd w:val="clear" w:color="auto" w:fill="0B4B73"/>
          </w:tcPr>
          <w:p>
            <w:pPr>
              <w:spacing w:after="0"/>
              <w:rPr>
                <w:sz w:val="14"/>
                <w:szCs w:val="14"/>
                <w:color w:val="auto"/>
              </w:rPr>
            </w:pPr>
          </w:p>
        </w:tc>
        <w:tc>
          <w:tcPr>
            <w:tcW w:w="1300" w:type="dxa"/>
            <w:vAlign w:val="bottom"/>
            <w:shd w:val="clear" w:color="auto" w:fill="0B4B73"/>
          </w:tcPr>
          <w:p>
            <w:pPr>
              <w:spacing w:after="0"/>
              <w:rPr>
                <w:sz w:val="14"/>
                <w:szCs w:val="14"/>
                <w:color w:val="auto"/>
              </w:rPr>
            </w:pPr>
          </w:p>
        </w:tc>
        <w:tc>
          <w:tcPr>
            <w:tcW w:w="13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Table Total</w:t>
            </w:r>
          </w:p>
        </w:tc>
        <w:tc>
          <w:tcPr>
            <w:tcW w:w="12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Actually Paid</w:t>
            </w:r>
          </w:p>
        </w:tc>
        <w:tc>
          <w:tcPr>
            <w:tcW w:w="12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Investment</w:t>
            </w:r>
          </w:p>
        </w:tc>
        <w:tc>
          <w:tcPr>
            <w:tcW w:w="1340" w:type="dxa"/>
            <w:vAlign w:val="bottom"/>
            <w:shd w:val="clear" w:color="auto" w:fill="0B4B73"/>
          </w:tcPr>
          <w:p>
            <w:pPr>
              <w:spacing w:after="0"/>
              <w:rPr>
                <w:sz w:val="14"/>
                <w:szCs w:val="14"/>
                <w:color w:val="auto"/>
              </w:rPr>
            </w:pPr>
          </w:p>
        </w:tc>
      </w:tr>
      <w:tr>
        <w:trPr>
          <w:trHeight w:val="162"/>
        </w:trPr>
        <w:tc>
          <w:tcPr>
            <w:tcW w:w="760" w:type="dxa"/>
            <w:vAlign w:val="bottom"/>
            <w:shd w:val="clear" w:color="auto" w:fill="0B4B73"/>
          </w:tcPr>
          <w:p>
            <w:pPr>
              <w:spacing w:after="0"/>
              <w:rPr>
                <w:sz w:val="14"/>
                <w:szCs w:val="14"/>
                <w:color w:val="auto"/>
              </w:rPr>
            </w:pPr>
          </w:p>
        </w:tc>
        <w:tc>
          <w:tcPr>
            <w:tcW w:w="1200" w:type="dxa"/>
            <w:vAlign w:val="bottom"/>
            <w:shd w:val="clear" w:color="auto" w:fill="0B4B73"/>
          </w:tcPr>
          <w:p>
            <w:pPr>
              <w:jc w:val="center"/>
              <w:ind w:left="25"/>
              <w:spacing w:after="0"/>
              <w:rPr>
                <w:sz w:val="20"/>
                <w:szCs w:val="20"/>
                <w:color w:val="auto"/>
              </w:rPr>
            </w:pPr>
            <w:r>
              <w:rPr>
                <w:rFonts w:ascii="Arial" w:cs="Arial" w:eastAsia="Arial" w:hAnsi="Arial"/>
                <w:sz w:val="14"/>
                <w:szCs w:val="14"/>
                <w:b w:val="1"/>
                <w:bCs w:val="1"/>
                <w:color w:val="FFFFFF"/>
              </w:rPr>
              <w:t>Summary</w:t>
            </w:r>
          </w:p>
        </w:tc>
        <w:tc>
          <w:tcPr>
            <w:tcW w:w="1300" w:type="dxa"/>
            <w:vAlign w:val="bottom"/>
            <w:shd w:val="clear" w:color="auto" w:fill="0B4B73"/>
          </w:tcPr>
          <w:p>
            <w:pPr>
              <w:spacing w:after="0"/>
              <w:rPr>
                <w:sz w:val="14"/>
                <w:szCs w:val="14"/>
                <w:color w:val="auto"/>
              </w:rPr>
            </w:pPr>
          </w:p>
        </w:tc>
        <w:tc>
          <w:tcPr>
            <w:tcW w:w="1340" w:type="dxa"/>
            <w:vAlign w:val="bottom"/>
            <w:shd w:val="clear" w:color="auto" w:fill="0B4B73"/>
          </w:tcPr>
          <w:p>
            <w:pPr>
              <w:jc w:val="center"/>
              <w:ind w:left="6"/>
              <w:spacing w:after="0"/>
              <w:rPr>
                <w:sz w:val="20"/>
                <w:szCs w:val="20"/>
                <w:color w:val="auto"/>
              </w:rPr>
            </w:pPr>
            <w:r>
              <w:rPr>
                <w:rFonts w:ascii="Arial" w:cs="Arial" w:eastAsia="Arial" w:hAnsi="Arial"/>
                <w:sz w:val="14"/>
                <w:szCs w:val="14"/>
                <w:b w:val="1"/>
                <w:bCs w:val="1"/>
                <w:color w:val="FFFFFF"/>
              </w:rPr>
              <w:t>for Non-PEO</w:t>
            </w:r>
          </w:p>
        </w:tc>
        <w:tc>
          <w:tcPr>
            <w:tcW w:w="12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to Non-PEO</w:t>
            </w:r>
          </w:p>
        </w:tc>
        <w:tc>
          <w:tcPr>
            <w:tcW w:w="12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Based On:</w:t>
            </w:r>
          </w:p>
        </w:tc>
        <w:tc>
          <w:tcPr>
            <w:tcW w:w="1340" w:type="dxa"/>
            <w:vAlign w:val="bottom"/>
            <w:shd w:val="clear" w:color="auto" w:fill="0B4B73"/>
          </w:tcPr>
          <w:p>
            <w:pPr>
              <w:spacing w:after="0"/>
              <w:rPr>
                <w:sz w:val="14"/>
                <w:szCs w:val="14"/>
                <w:color w:val="auto"/>
              </w:rPr>
            </w:pPr>
          </w:p>
        </w:tc>
      </w:tr>
      <w:tr>
        <w:trPr>
          <w:trHeight w:val="162"/>
        </w:trPr>
        <w:tc>
          <w:tcPr>
            <w:tcW w:w="760" w:type="dxa"/>
            <w:vAlign w:val="bottom"/>
            <w:shd w:val="clear" w:color="auto" w:fill="0B4B73"/>
          </w:tcPr>
          <w:p>
            <w:pPr>
              <w:spacing w:after="0"/>
              <w:rPr>
                <w:sz w:val="14"/>
                <w:szCs w:val="14"/>
                <w:color w:val="auto"/>
              </w:rPr>
            </w:pPr>
          </w:p>
        </w:tc>
        <w:tc>
          <w:tcPr>
            <w:tcW w:w="1200" w:type="dxa"/>
            <w:vAlign w:val="bottom"/>
            <w:shd w:val="clear" w:color="auto" w:fill="0B4B73"/>
          </w:tcPr>
          <w:p>
            <w:pPr>
              <w:jc w:val="center"/>
              <w:ind w:left="5"/>
              <w:spacing w:after="0"/>
              <w:rPr>
                <w:sz w:val="20"/>
                <w:szCs w:val="20"/>
                <w:color w:val="auto"/>
              </w:rPr>
            </w:pPr>
            <w:r>
              <w:rPr>
                <w:rFonts w:ascii="Arial" w:cs="Arial" w:eastAsia="Arial" w:hAnsi="Arial"/>
                <w:sz w:val="14"/>
                <w:szCs w:val="14"/>
                <w:b w:val="1"/>
                <w:bCs w:val="1"/>
                <w:color w:val="FFFFFF"/>
              </w:rPr>
              <w:t>Compensation</w:t>
            </w:r>
          </w:p>
        </w:tc>
        <w:tc>
          <w:tcPr>
            <w:tcW w:w="1300" w:type="dxa"/>
            <w:vAlign w:val="bottom"/>
            <w:shd w:val="clear" w:color="auto" w:fill="0B4B73"/>
          </w:tcPr>
          <w:p>
            <w:pPr>
              <w:jc w:val="center"/>
              <w:ind w:left="110"/>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Named</w:t>
            </w:r>
          </w:p>
        </w:tc>
        <w:tc>
          <w:tcPr>
            <w:tcW w:w="12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w w:val="98"/>
              </w:rPr>
              <w:t>Named</w:t>
            </w:r>
          </w:p>
        </w:tc>
        <w:tc>
          <w:tcPr>
            <w:tcW w:w="12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Total</w:t>
            </w:r>
          </w:p>
        </w:tc>
        <w:tc>
          <w:tcPr>
            <w:tcW w:w="1340" w:type="dxa"/>
            <w:vAlign w:val="bottom"/>
            <w:shd w:val="clear" w:color="auto" w:fill="0B4B73"/>
          </w:tcPr>
          <w:p>
            <w:pPr>
              <w:spacing w:after="0"/>
              <w:rPr>
                <w:sz w:val="14"/>
                <w:szCs w:val="14"/>
                <w:color w:val="auto"/>
              </w:rPr>
            </w:pPr>
          </w:p>
        </w:tc>
      </w:tr>
      <w:tr>
        <w:trPr>
          <w:trHeight w:val="135"/>
        </w:trPr>
        <w:tc>
          <w:tcPr>
            <w:tcW w:w="760" w:type="dxa"/>
            <w:vAlign w:val="bottom"/>
            <w:shd w:val="clear" w:color="auto" w:fill="0B4B73"/>
          </w:tcPr>
          <w:p>
            <w:pPr>
              <w:spacing w:after="0"/>
              <w:rPr>
                <w:sz w:val="11"/>
                <w:szCs w:val="11"/>
                <w:color w:val="auto"/>
              </w:rPr>
            </w:pPr>
          </w:p>
        </w:tc>
        <w:tc>
          <w:tcPr>
            <w:tcW w:w="1200" w:type="dxa"/>
            <w:vAlign w:val="bottom"/>
            <w:shd w:val="clear" w:color="auto" w:fill="0B4B73"/>
          </w:tcPr>
          <w:p>
            <w:pPr>
              <w:jc w:val="center"/>
              <w:ind w:left="5"/>
              <w:spacing w:after="0" w:line="135" w:lineRule="exact"/>
              <w:rPr>
                <w:sz w:val="20"/>
                <w:szCs w:val="20"/>
                <w:color w:val="auto"/>
              </w:rPr>
            </w:pPr>
            <w:r>
              <w:rPr>
                <w:rFonts w:ascii="Arial" w:cs="Arial" w:eastAsia="Arial" w:hAnsi="Arial"/>
                <w:sz w:val="14"/>
                <w:szCs w:val="14"/>
                <w:b w:val="1"/>
                <w:bCs w:val="1"/>
                <w:color w:val="FFFFFF"/>
              </w:rPr>
              <w:t>Table Total</w:t>
            </w:r>
          </w:p>
        </w:tc>
        <w:tc>
          <w:tcPr>
            <w:tcW w:w="1300" w:type="dxa"/>
            <w:vAlign w:val="bottom"/>
            <w:shd w:val="clear" w:color="auto" w:fill="0B4B73"/>
          </w:tcPr>
          <w:p>
            <w:pPr>
              <w:jc w:val="center"/>
              <w:ind w:left="110"/>
              <w:spacing w:after="0" w:line="135" w:lineRule="exact"/>
              <w:rPr>
                <w:sz w:val="20"/>
                <w:szCs w:val="20"/>
                <w:color w:val="auto"/>
              </w:rPr>
            </w:pPr>
            <w:r>
              <w:rPr>
                <w:rFonts w:ascii="Arial" w:cs="Arial" w:eastAsia="Arial" w:hAnsi="Arial"/>
                <w:sz w:val="14"/>
                <w:szCs w:val="14"/>
                <w:b w:val="1"/>
                <w:bCs w:val="1"/>
                <w:color w:val="FFFFFF"/>
              </w:rPr>
              <w:t>Actually Paid</w:t>
            </w:r>
          </w:p>
        </w:tc>
        <w:tc>
          <w:tcPr>
            <w:tcW w:w="1340" w:type="dxa"/>
            <w:vAlign w:val="bottom"/>
            <w:shd w:val="clear" w:color="auto" w:fill="0B4B73"/>
          </w:tcPr>
          <w:p>
            <w:pPr>
              <w:jc w:val="center"/>
              <w:ind w:left="6"/>
              <w:spacing w:after="0" w:line="135" w:lineRule="exact"/>
              <w:rPr>
                <w:sz w:val="20"/>
                <w:szCs w:val="20"/>
                <w:color w:val="auto"/>
              </w:rPr>
            </w:pPr>
            <w:r>
              <w:rPr>
                <w:rFonts w:ascii="Arial" w:cs="Arial" w:eastAsia="Arial" w:hAnsi="Arial"/>
                <w:sz w:val="14"/>
                <w:szCs w:val="14"/>
                <w:b w:val="1"/>
                <w:bCs w:val="1"/>
                <w:color w:val="FFFFFF"/>
              </w:rPr>
              <w:t>Executive</w:t>
            </w:r>
          </w:p>
        </w:tc>
        <w:tc>
          <w:tcPr>
            <w:tcW w:w="126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Executive</w:t>
            </w:r>
          </w:p>
        </w:tc>
        <w:tc>
          <w:tcPr>
            <w:tcW w:w="122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Stockholder</w:t>
            </w:r>
          </w:p>
        </w:tc>
        <w:tc>
          <w:tcPr>
            <w:tcW w:w="134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Net Income</w:t>
            </w:r>
          </w:p>
        </w:tc>
      </w:tr>
      <w:tr>
        <w:trPr>
          <w:trHeight w:val="189"/>
        </w:trPr>
        <w:tc>
          <w:tcPr>
            <w:tcW w:w="7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Fiscal</w:t>
            </w:r>
          </w:p>
        </w:tc>
        <w:tc>
          <w:tcPr>
            <w:tcW w:w="1200" w:type="dxa"/>
            <w:vAlign w:val="bottom"/>
            <w:shd w:val="clear" w:color="auto" w:fill="0B4B73"/>
          </w:tcPr>
          <w:p>
            <w:pPr>
              <w:jc w:val="center"/>
              <w:ind w:left="5"/>
              <w:spacing w:after="0" w:line="189" w:lineRule="exact"/>
              <w:rPr>
                <w:sz w:val="20"/>
                <w:szCs w:val="20"/>
                <w:color w:val="auto"/>
              </w:rPr>
            </w:pPr>
            <w:r>
              <w:rPr>
                <w:rFonts w:ascii="Arial" w:cs="Arial" w:eastAsia="Arial" w:hAnsi="Arial"/>
                <w:sz w:val="14"/>
                <w:szCs w:val="14"/>
                <w:b w:val="1"/>
                <w:bCs w:val="1"/>
                <w:color w:val="FFFFFF"/>
                <w:w w:val="94"/>
              </w:rPr>
              <w:t>for PEO</w:t>
            </w:r>
            <w:r>
              <w:rPr>
                <w:rFonts w:ascii="Arial" w:cs="Arial" w:eastAsia="Arial" w:hAnsi="Arial"/>
                <w:sz w:val="19"/>
                <w:szCs w:val="19"/>
                <w:b w:val="1"/>
                <w:bCs w:val="1"/>
                <w:color w:val="FFFFFF"/>
                <w:w w:val="94"/>
                <w:vertAlign w:val="superscript"/>
              </w:rPr>
              <w:t>(1)</w:t>
            </w:r>
          </w:p>
        </w:tc>
        <w:tc>
          <w:tcPr>
            <w:tcW w:w="1300" w:type="dxa"/>
            <w:vAlign w:val="bottom"/>
            <w:shd w:val="clear" w:color="auto" w:fill="0B4B73"/>
          </w:tcPr>
          <w:p>
            <w:pPr>
              <w:jc w:val="center"/>
              <w:ind w:left="110"/>
              <w:spacing w:after="0" w:line="189" w:lineRule="exact"/>
              <w:rPr>
                <w:sz w:val="20"/>
                <w:szCs w:val="20"/>
                <w:color w:val="auto"/>
              </w:rPr>
            </w:pPr>
            <w:r>
              <w:rPr>
                <w:rFonts w:ascii="Arial" w:cs="Arial" w:eastAsia="Arial" w:hAnsi="Arial"/>
                <w:sz w:val="21"/>
                <w:szCs w:val="21"/>
                <w:b w:val="1"/>
                <w:bCs w:val="1"/>
                <w:color w:val="FFFFFF"/>
                <w:vertAlign w:val="subscript"/>
              </w:rPr>
              <w:t>to PEO</w:t>
            </w:r>
            <w:r>
              <w:rPr>
                <w:rFonts w:ascii="Arial" w:cs="Arial" w:eastAsia="Arial" w:hAnsi="Arial"/>
                <w:sz w:val="8"/>
                <w:szCs w:val="8"/>
                <w:b w:val="1"/>
                <w:bCs w:val="1"/>
                <w:color w:val="FFFFFF"/>
              </w:rPr>
              <w:t>(1)(2)(3)</w:t>
            </w:r>
          </w:p>
        </w:tc>
        <w:tc>
          <w:tcPr>
            <w:tcW w:w="1340" w:type="dxa"/>
            <w:vAlign w:val="bottom"/>
            <w:shd w:val="clear" w:color="auto" w:fill="0B4B73"/>
          </w:tcPr>
          <w:p>
            <w:pPr>
              <w:jc w:val="center"/>
              <w:ind w:left="6"/>
              <w:spacing w:after="0" w:line="189" w:lineRule="exact"/>
              <w:rPr>
                <w:sz w:val="20"/>
                <w:szCs w:val="20"/>
                <w:color w:val="auto"/>
              </w:rPr>
            </w:pPr>
            <w:r>
              <w:rPr>
                <w:rFonts w:ascii="Arial" w:cs="Arial" w:eastAsia="Arial" w:hAnsi="Arial"/>
                <w:sz w:val="14"/>
                <w:szCs w:val="14"/>
                <w:b w:val="1"/>
                <w:bCs w:val="1"/>
                <w:color w:val="FFFFFF"/>
                <w:w w:val="96"/>
              </w:rPr>
              <w:t>Officers</w:t>
            </w:r>
            <w:r>
              <w:rPr>
                <w:rFonts w:ascii="Arial" w:cs="Arial" w:eastAsia="Arial" w:hAnsi="Arial"/>
                <w:sz w:val="19"/>
                <w:szCs w:val="19"/>
                <w:b w:val="1"/>
                <w:bCs w:val="1"/>
                <w:color w:val="FFFFFF"/>
                <w:w w:val="96"/>
                <w:vertAlign w:val="superscript"/>
              </w:rPr>
              <w:t>(1)</w:t>
            </w:r>
          </w:p>
        </w:tc>
        <w:tc>
          <w:tcPr>
            <w:tcW w:w="1260" w:type="dxa"/>
            <w:vAlign w:val="bottom"/>
            <w:shd w:val="clear" w:color="auto" w:fill="0B4B73"/>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Officers</w:t>
            </w:r>
            <w:r>
              <w:rPr>
                <w:rFonts w:ascii="Arial" w:cs="Arial" w:eastAsia="Arial" w:hAnsi="Arial"/>
                <w:sz w:val="8"/>
                <w:szCs w:val="8"/>
                <w:b w:val="1"/>
                <w:bCs w:val="1"/>
                <w:color w:val="FFFFFF"/>
              </w:rPr>
              <w:t>(1)(2)(3)</w:t>
            </w:r>
          </w:p>
        </w:tc>
        <w:tc>
          <w:tcPr>
            <w:tcW w:w="1220" w:type="dxa"/>
            <w:vAlign w:val="bottom"/>
            <w:shd w:val="clear" w:color="auto" w:fill="0B4B73"/>
          </w:tcPr>
          <w:p>
            <w:pPr>
              <w:jc w:val="center"/>
              <w:spacing w:after="0" w:line="189" w:lineRule="exact"/>
              <w:rPr>
                <w:sz w:val="20"/>
                <w:szCs w:val="20"/>
                <w:color w:val="auto"/>
              </w:rPr>
            </w:pPr>
            <w:r>
              <w:rPr>
                <w:rFonts w:ascii="Arial" w:cs="Arial" w:eastAsia="Arial" w:hAnsi="Arial"/>
                <w:sz w:val="14"/>
                <w:szCs w:val="14"/>
                <w:b w:val="1"/>
                <w:bCs w:val="1"/>
                <w:color w:val="FFFFFF"/>
                <w:w w:val="95"/>
              </w:rPr>
              <w:t>Return</w:t>
            </w:r>
            <w:r>
              <w:rPr>
                <w:rFonts w:ascii="Arial" w:cs="Arial" w:eastAsia="Arial" w:hAnsi="Arial"/>
                <w:sz w:val="19"/>
                <w:szCs w:val="19"/>
                <w:b w:val="1"/>
                <w:bCs w:val="1"/>
                <w:color w:val="FFFFFF"/>
                <w:w w:val="95"/>
                <w:vertAlign w:val="superscript"/>
              </w:rPr>
              <w:t>(4)</w:t>
            </w:r>
          </w:p>
        </w:tc>
        <w:tc>
          <w:tcPr>
            <w:tcW w:w="1340" w:type="dxa"/>
            <w:vAlign w:val="bottom"/>
            <w:shd w:val="clear" w:color="auto" w:fill="0B4B73"/>
          </w:tcPr>
          <w:p>
            <w:pPr>
              <w:jc w:val="center"/>
              <w:spacing w:after="0" w:line="189" w:lineRule="exact"/>
              <w:rPr>
                <w:sz w:val="20"/>
                <w:szCs w:val="20"/>
                <w:color w:val="auto"/>
              </w:rPr>
            </w:pPr>
            <w:r>
              <w:rPr>
                <w:rFonts w:ascii="Arial" w:cs="Arial" w:eastAsia="Arial" w:hAnsi="Arial"/>
                <w:sz w:val="14"/>
                <w:szCs w:val="14"/>
                <w:b w:val="1"/>
                <w:bCs w:val="1"/>
                <w:color w:val="FFFFFF"/>
                <w:w w:val="97"/>
              </w:rPr>
              <w:t>(Loss)</w:t>
            </w:r>
            <w:r>
              <w:rPr>
                <w:rFonts w:ascii="Arial" w:cs="Arial" w:eastAsia="Arial" w:hAnsi="Arial"/>
                <w:sz w:val="19"/>
                <w:szCs w:val="19"/>
                <w:b w:val="1"/>
                <w:bCs w:val="1"/>
                <w:color w:val="FFFFFF"/>
                <w:w w:val="97"/>
                <w:vertAlign w:val="superscript"/>
              </w:rPr>
              <w:t>(5)</w:t>
            </w:r>
          </w:p>
        </w:tc>
      </w:tr>
      <w:tr>
        <w:trPr>
          <w:trHeight w:val="183"/>
        </w:trPr>
        <w:tc>
          <w:tcPr>
            <w:tcW w:w="76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200" w:type="dxa"/>
            <w:vAlign w:val="bottom"/>
            <w:tcBorders>
              <w:bottom w:val="single" w:sz="8" w:color="C3D041"/>
            </w:tcBorders>
            <w:shd w:val="clear" w:color="auto" w:fill="0B4B73"/>
          </w:tcPr>
          <w:p>
            <w:pPr>
              <w:jc w:val="center"/>
              <w:ind w:left="25"/>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bottom w:val="single" w:sz="8" w:color="C3D041"/>
            </w:tcBorders>
            <w:shd w:val="clear" w:color="auto" w:fill="0B4B73"/>
          </w:tcPr>
          <w:p>
            <w:pPr>
              <w:jc w:val="center"/>
              <w:ind w:left="110"/>
              <w:spacing w:after="0"/>
              <w:rPr>
                <w:sz w:val="20"/>
                <w:szCs w:val="20"/>
                <w:color w:val="auto"/>
              </w:rPr>
            </w:pPr>
            <w:r>
              <w:rPr>
                <w:rFonts w:ascii="Arial" w:cs="Arial" w:eastAsia="Arial" w:hAnsi="Arial"/>
                <w:sz w:val="14"/>
                <w:szCs w:val="14"/>
                <w:b w:val="1"/>
                <w:bCs w:val="1"/>
                <w:color w:val="FFFFFF"/>
                <w:w w:val="93"/>
              </w:rPr>
              <w:t>($)</w:t>
            </w:r>
          </w:p>
        </w:tc>
        <w:tc>
          <w:tcPr>
            <w:tcW w:w="1340" w:type="dxa"/>
            <w:vAlign w:val="bottom"/>
            <w:tcBorders>
              <w:bottom w:val="single" w:sz="8" w:color="C3D041"/>
            </w:tcBorders>
            <w:shd w:val="clear" w:color="auto" w:fill="0B4B73"/>
          </w:tcPr>
          <w:p>
            <w:pPr>
              <w:jc w:val="center"/>
              <w:ind w:left="6"/>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 in thousands)</w:t>
            </w:r>
          </w:p>
        </w:tc>
      </w:tr>
      <w:tr>
        <w:trPr>
          <w:trHeight w:val="189"/>
        </w:trPr>
        <w:tc>
          <w:tcPr>
            <w:tcW w:w="760" w:type="dxa"/>
            <w:vAlign w:val="bottom"/>
            <w:shd w:val="clear" w:color="auto" w:fill="E4EDF1"/>
          </w:tcPr>
          <w:p>
            <w:pPr>
              <w:jc w:val="center"/>
              <w:spacing w:after="0"/>
              <w:rPr>
                <w:sz w:val="20"/>
                <w:szCs w:val="20"/>
                <w:color w:val="auto"/>
              </w:rPr>
            </w:pPr>
            <w:r>
              <w:rPr>
                <w:rFonts w:ascii="Arial" w:cs="Arial" w:eastAsia="Arial" w:hAnsi="Arial"/>
                <w:sz w:val="16"/>
                <w:szCs w:val="16"/>
                <w:color w:val="auto"/>
              </w:rPr>
              <w:t>2025</w:t>
            </w:r>
          </w:p>
        </w:tc>
        <w:tc>
          <w:tcPr>
            <w:tcW w:w="12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9,656,400</w:t>
            </w:r>
          </w:p>
        </w:tc>
        <w:tc>
          <w:tcPr>
            <w:tcW w:w="13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10,249,084</w:t>
            </w:r>
          </w:p>
        </w:tc>
        <w:tc>
          <w:tcPr>
            <w:tcW w:w="1340" w:type="dxa"/>
            <w:vAlign w:val="bottom"/>
            <w:shd w:val="clear" w:color="auto" w:fill="E4EDF1"/>
          </w:tcPr>
          <w:p>
            <w:pPr>
              <w:jc w:val="right"/>
              <w:ind w:right="26"/>
              <w:spacing w:after="0"/>
              <w:rPr>
                <w:sz w:val="20"/>
                <w:szCs w:val="20"/>
                <w:color w:val="auto"/>
              </w:rPr>
            </w:pPr>
            <w:r>
              <w:rPr>
                <w:rFonts w:ascii="Arial" w:cs="Arial" w:eastAsia="Arial" w:hAnsi="Arial"/>
                <w:sz w:val="16"/>
                <w:szCs w:val="16"/>
                <w:color w:val="auto"/>
              </w:rPr>
              <w:t>4,089,290</w:t>
            </w:r>
          </w:p>
        </w:tc>
        <w:tc>
          <w:tcPr>
            <w:tcW w:w="1260" w:type="dxa"/>
            <w:vAlign w:val="bottom"/>
            <w:shd w:val="clear" w:color="auto" w:fill="E4EDF1"/>
          </w:tcPr>
          <w:p>
            <w:pPr>
              <w:jc w:val="right"/>
              <w:ind w:right="49"/>
              <w:spacing w:after="0"/>
              <w:rPr>
                <w:sz w:val="20"/>
                <w:szCs w:val="20"/>
                <w:color w:val="auto"/>
              </w:rPr>
            </w:pPr>
            <w:r>
              <w:rPr>
                <w:rFonts w:ascii="Arial" w:cs="Arial" w:eastAsia="Arial" w:hAnsi="Arial"/>
                <w:sz w:val="16"/>
                <w:szCs w:val="16"/>
                <w:color w:val="auto"/>
              </w:rPr>
              <w:t>4,278,578</w:t>
            </w:r>
          </w:p>
        </w:tc>
        <w:tc>
          <w:tcPr>
            <w:tcW w:w="1220" w:type="dxa"/>
            <w:vAlign w:val="bottom"/>
            <w:shd w:val="clear" w:color="auto" w:fill="E4EDF1"/>
          </w:tcPr>
          <w:p>
            <w:pPr>
              <w:jc w:val="right"/>
              <w:ind w:right="26"/>
              <w:spacing w:after="0"/>
              <w:rPr>
                <w:sz w:val="20"/>
                <w:szCs w:val="20"/>
                <w:color w:val="auto"/>
              </w:rPr>
            </w:pPr>
            <w:r>
              <w:rPr>
                <w:rFonts w:ascii="Arial" w:cs="Arial" w:eastAsia="Arial" w:hAnsi="Arial"/>
                <w:sz w:val="16"/>
                <w:szCs w:val="16"/>
                <w:color w:val="auto"/>
              </w:rPr>
              <w:t>213</w:t>
            </w:r>
          </w:p>
        </w:tc>
        <w:tc>
          <w:tcPr>
            <w:tcW w:w="134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(171,298)</w:t>
            </w:r>
          </w:p>
        </w:tc>
      </w:tr>
      <w:tr>
        <w:trPr>
          <w:trHeight w:val="215"/>
        </w:trPr>
        <w:tc>
          <w:tcPr>
            <w:tcW w:w="760" w:type="dxa"/>
            <w:vAlign w:val="bottom"/>
          </w:tcPr>
          <w:p>
            <w:pPr>
              <w:jc w:val="center"/>
              <w:spacing w:after="0"/>
              <w:rPr>
                <w:sz w:val="20"/>
                <w:szCs w:val="20"/>
                <w:color w:val="auto"/>
              </w:rPr>
            </w:pPr>
            <w:r>
              <w:rPr>
                <w:rFonts w:ascii="Arial" w:cs="Arial" w:eastAsia="Arial" w:hAnsi="Arial"/>
                <w:sz w:val="16"/>
                <w:szCs w:val="16"/>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7,174,995</w:t>
            </w:r>
          </w:p>
        </w:tc>
        <w:tc>
          <w:tcPr>
            <w:tcW w:w="1300" w:type="dxa"/>
            <w:vAlign w:val="bottom"/>
          </w:tcPr>
          <w:p>
            <w:pPr>
              <w:jc w:val="right"/>
              <w:spacing w:after="0"/>
              <w:rPr>
                <w:sz w:val="20"/>
                <w:szCs w:val="20"/>
                <w:color w:val="auto"/>
              </w:rPr>
            </w:pPr>
            <w:r>
              <w:rPr>
                <w:rFonts w:ascii="Arial" w:cs="Arial" w:eastAsia="Arial" w:hAnsi="Arial"/>
                <w:sz w:val="16"/>
                <w:szCs w:val="16"/>
                <w:color w:val="auto"/>
              </w:rPr>
              <w:t>14,589,562</w:t>
            </w: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3,240,922</w:t>
            </w:r>
          </w:p>
        </w:tc>
        <w:tc>
          <w:tcPr>
            <w:tcW w:w="1260" w:type="dxa"/>
            <w:vAlign w:val="bottom"/>
          </w:tcPr>
          <w:p>
            <w:pPr>
              <w:jc w:val="right"/>
              <w:ind w:right="49"/>
              <w:spacing w:after="0"/>
              <w:rPr>
                <w:sz w:val="20"/>
                <w:szCs w:val="20"/>
                <w:color w:val="auto"/>
              </w:rPr>
            </w:pPr>
            <w:r>
              <w:rPr>
                <w:rFonts w:ascii="Arial" w:cs="Arial" w:eastAsia="Arial" w:hAnsi="Arial"/>
                <w:sz w:val="16"/>
                <w:szCs w:val="16"/>
                <w:color w:val="auto"/>
              </w:rPr>
              <w:t>5,610,043</w:t>
            </w:r>
          </w:p>
        </w:tc>
        <w:tc>
          <w:tcPr>
            <w:tcW w:w="1220" w:type="dxa"/>
            <w:vAlign w:val="bottom"/>
          </w:tcPr>
          <w:p>
            <w:pPr>
              <w:jc w:val="right"/>
              <w:ind w:right="26"/>
              <w:spacing w:after="0"/>
              <w:rPr>
                <w:sz w:val="20"/>
                <w:szCs w:val="20"/>
                <w:color w:val="auto"/>
              </w:rPr>
            </w:pPr>
            <w:r>
              <w:rPr>
                <w:rFonts w:ascii="Arial" w:cs="Arial" w:eastAsia="Arial" w:hAnsi="Arial"/>
                <w:sz w:val="16"/>
                <w:szCs w:val="16"/>
                <w:color w:val="auto"/>
              </w:rPr>
              <w:t>193</w:t>
            </w: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7,998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86360</wp:posOffset>
            </wp:positionV>
            <wp:extent cx="1234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8" w:lineRule="exact"/>
        <w:rPr>
          <w:sz w:val="20"/>
          <w:szCs w:val="20"/>
          <w:color w:val="auto"/>
        </w:rPr>
      </w:pPr>
    </w:p>
    <w:p>
      <w:pPr>
        <w:ind w:left="740" w:right="319" w:hanging="448"/>
        <w:spacing w:after="0" w:line="285" w:lineRule="auto"/>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Richard Lowenthal was our PEO for each year presented. The individuals comprising the Non-PEO NEOs for each year presented are listed below.</w:t>
      </w:r>
    </w:p>
    <w:p>
      <w:pPr>
        <w:spacing w:after="0" w:line="5" w:lineRule="exact"/>
        <w:rPr>
          <w:sz w:val="20"/>
          <w:szCs w:val="20"/>
          <w:color w:val="auto"/>
        </w:rPr>
      </w:pPr>
    </w:p>
    <w:tbl>
      <w:tblPr>
        <w:tblLayout w:type="fixed"/>
        <w:tblInd w:w="740" w:type="dxa"/>
        <w:tblCellMar>
          <w:top w:w="0" w:type="dxa"/>
          <w:left w:w="0" w:type="dxa"/>
          <w:bottom w:w="0" w:type="dxa"/>
          <w:right w:w="0" w:type="dxa"/>
        </w:tblCellMar>
      </w:tblPr>
      <w:tr>
        <w:trPr>
          <w:trHeight w:val="183"/>
        </w:trPr>
        <w:tc>
          <w:tcPr>
            <w:tcW w:w="3940" w:type="dxa"/>
            <w:vAlign w:val="bottom"/>
            <w:tcBorders>
              <w:bottom w:val="single" w:sz="8" w:color="C3D041"/>
            </w:tcBorders>
            <w:shd w:val="clear" w:color="auto" w:fill="0B4B73"/>
          </w:tcPr>
          <w:p>
            <w:pPr>
              <w:jc w:val="center"/>
              <w:ind w:right="188"/>
              <w:spacing w:after="0"/>
              <w:rPr>
                <w:sz w:val="20"/>
                <w:szCs w:val="20"/>
                <w:color w:val="auto"/>
              </w:rPr>
            </w:pPr>
            <w:r>
              <w:rPr>
                <w:rFonts w:ascii="Arial" w:cs="Arial" w:eastAsia="Arial" w:hAnsi="Arial"/>
                <w:sz w:val="14"/>
                <w:szCs w:val="14"/>
                <w:b w:val="1"/>
                <w:bCs w:val="1"/>
                <w:color w:val="FFFFFF"/>
              </w:rPr>
              <w:t>2024</w:t>
            </w:r>
          </w:p>
        </w:tc>
        <w:tc>
          <w:tcPr>
            <w:tcW w:w="3960" w:type="dxa"/>
            <w:vAlign w:val="bottom"/>
            <w:tcBorders>
              <w:bottom w:val="single" w:sz="8" w:color="C3D041"/>
            </w:tcBorders>
            <w:shd w:val="clear" w:color="auto" w:fill="0B4B73"/>
          </w:tcPr>
          <w:p>
            <w:pPr>
              <w:jc w:val="center"/>
              <w:ind w:left="168"/>
              <w:spacing w:after="0"/>
              <w:rPr>
                <w:sz w:val="20"/>
                <w:szCs w:val="20"/>
                <w:color w:val="auto"/>
              </w:rPr>
            </w:pPr>
            <w:r>
              <w:rPr>
                <w:rFonts w:ascii="Arial" w:cs="Arial" w:eastAsia="Arial" w:hAnsi="Arial"/>
                <w:sz w:val="14"/>
                <w:szCs w:val="14"/>
                <w:b w:val="1"/>
                <w:bCs w:val="1"/>
                <w:color w:val="FFFFFF"/>
              </w:rPr>
              <w:t>2025</w:t>
            </w:r>
          </w:p>
        </w:tc>
      </w:tr>
      <w:tr>
        <w:trPr>
          <w:trHeight w:val="162"/>
        </w:trPr>
        <w:tc>
          <w:tcPr>
            <w:tcW w:w="3940" w:type="dxa"/>
            <w:vAlign w:val="bottom"/>
            <w:shd w:val="clear" w:color="auto" w:fill="E4EDF1"/>
          </w:tcPr>
          <w:p>
            <w:pPr>
              <w:jc w:val="center"/>
              <w:ind w:right="168"/>
              <w:spacing w:after="0"/>
              <w:rPr>
                <w:sz w:val="20"/>
                <w:szCs w:val="20"/>
                <w:color w:val="auto"/>
              </w:rPr>
            </w:pPr>
            <w:r>
              <w:rPr>
                <w:rFonts w:ascii="Arial" w:cs="Arial" w:eastAsia="Arial" w:hAnsi="Arial"/>
                <w:sz w:val="14"/>
                <w:szCs w:val="14"/>
                <w:color w:val="auto"/>
              </w:rPr>
              <w:t>Sarina Tanimoto</w:t>
            </w:r>
          </w:p>
        </w:tc>
        <w:tc>
          <w:tcPr>
            <w:tcW w:w="3960" w:type="dxa"/>
            <w:vAlign w:val="bottom"/>
            <w:shd w:val="clear" w:color="auto" w:fill="E4EDF1"/>
          </w:tcPr>
          <w:p>
            <w:pPr>
              <w:jc w:val="center"/>
              <w:ind w:left="148"/>
              <w:spacing w:after="0"/>
              <w:rPr>
                <w:sz w:val="20"/>
                <w:szCs w:val="20"/>
                <w:color w:val="auto"/>
              </w:rPr>
            </w:pPr>
            <w:r>
              <w:rPr>
                <w:rFonts w:ascii="Arial" w:cs="Arial" w:eastAsia="Arial" w:hAnsi="Arial"/>
                <w:sz w:val="14"/>
                <w:szCs w:val="14"/>
                <w:color w:val="auto"/>
              </w:rPr>
              <w:t>Sarina Tanimoto</w:t>
            </w:r>
          </w:p>
        </w:tc>
      </w:tr>
      <w:tr>
        <w:trPr>
          <w:trHeight w:val="190"/>
        </w:trPr>
        <w:tc>
          <w:tcPr>
            <w:tcW w:w="3940" w:type="dxa"/>
            <w:vAlign w:val="bottom"/>
          </w:tcPr>
          <w:p>
            <w:pPr>
              <w:jc w:val="center"/>
              <w:ind w:right="188"/>
              <w:spacing w:after="0"/>
              <w:rPr>
                <w:sz w:val="20"/>
                <w:szCs w:val="20"/>
                <w:color w:val="auto"/>
              </w:rPr>
            </w:pPr>
            <w:r>
              <w:rPr>
                <w:rFonts w:ascii="Arial" w:cs="Arial" w:eastAsia="Arial" w:hAnsi="Arial"/>
                <w:sz w:val="14"/>
                <w:szCs w:val="14"/>
                <w:color w:val="auto"/>
              </w:rPr>
              <w:t>Brian T. Dorsey</w:t>
            </w:r>
          </w:p>
        </w:tc>
        <w:tc>
          <w:tcPr>
            <w:tcW w:w="3960" w:type="dxa"/>
            <w:vAlign w:val="bottom"/>
          </w:tcPr>
          <w:p>
            <w:pPr>
              <w:jc w:val="center"/>
              <w:ind w:left="168"/>
              <w:spacing w:after="0"/>
              <w:rPr>
                <w:sz w:val="20"/>
                <w:szCs w:val="20"/>
                <w:color w:val="auto"/>
              </w:rPr>
            </w:pPr>
            <w:r>
              <w:rPr>
                <w:rFonts w:ascii="Arial" w:cs="Arial" w:eastAsia="Arial" w:hAnsi="Arial"/>
                <w:sz w:val="14"/>
                <w:szCs w:val="14"/>
                <w:color w:val="auto"/>
              </w:rPr>
              <w:t>Justin Chakma</w:t>
            </w:r>
          </w:p>
        </w:tc>
      </w:tr>
    </w:tbl>
    <w:p>
      <w:pPr>
        <w:spacing w:after="0" w:line="71" w:lineRule="exact"/>
        <w:rPr>
          <w:sz w:val="20"/>
          <w:szCs w:val="20"/>
          <w:color w:val="auto"/>
        </w:rPr>
      </w:pPr>
    </w:p>
    <w:p>
      <w:pPr>
        <w:jc w:val="both"/>
        <w:ind w:left="740" w:right="319" w:hanging="448"/>
        <w:spacing w:after="0" w:line="263" w:lineRule="auto"/>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shown for Compensation Actually Paid have been calculated in accordance with Item 402(v) of Regulation S-K and do not reflect compensation actually earned, realized, or received by the Company’s PEO and Non-PEO NEOs. These amounts reflect the Summary Compensation Table Total with certain adjustments as described in footnote 3 below.</w:t>
      </w:r>
    </w:p>
    <w:p>
      <w:pPr>
        <w:spacing w:after="0" w:line="10" w:lineRule="exact"/>
        <w:rPr>
          <w:rFonts w:ascii="Arial" w:cs="Arial" w:eastAsia="Arial" w:hAnsi="Arial"/>
          <w:sz w:val="14"/>
          <w:szCs w:val="14"/>
          <w:color w:val="auto"/>
        </w:rPr>
      </w:pPr>
    </w:p>
    <w:p>
      <w:pPr>
        <w:jc w:val="both"/>
        <w:ind w:left="740" w:right="299" w:hanging="448"/>
        <w:spacing w:after="0" w:line="263" w:lineRule="auto"/>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Compensation Actually Paid reflects the exclusions and inclusions of certain amounts for the PEO and the Non-PEO NEOs as set forth below. Equity values are calculated in accordance with FASB ASC Topic 718. Amounts in the Exclusion of Option Awards column are the totals from the Option Awards column set forth in the Summary Compensation Table.</w:t>
      </w:r>
    </w:p>
    <w:p>
      <w:pPr>
        <w:spacing w:after="0" w:line="20" w:lineRule="exact"/>
        <w:rPr>
          <w:sz w:val="20"/>
          <w:szCs w:val="20"/>
          <w:color w:val="auto"/>
        </w:rPr>
      </w:pPr>
    </w:p>
    <w:tbl>
      <w:tblPr>
        <w:tblLayout w:type="fixed"/>
        <w:tblInd w:w="7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80" w:type="dxa"/>
            <w:vAlign w:val="bottom"/>
            <w:shd w:val="clear" w:color="auto" w:fill="0B4B73"/>
          </w:tcPr>
          <w:p>
            <w:pPr>
              <w:spacing w:after="0"/>
              <w:rPr>
                <w:sz w:val="14"/>
                <w:szCs w:val="14"/>
                <w:color w:val="auto"/>
              </w:rPr>
            </w:pPr>
          </w:p>
        </w:tc>
        <w:tc>
          <w:tcPr>
            <w:tcW w:w="3380" w:type="dxa"/>
            <w:vAlign w:val="bottom"/>
            <w:shd w:val="clear" w:color="auto" w:fill="0B4B73"/>
          </w:tcPr>
          <w:p>
            <w:pPr>
              <w:spacing w:after="0"/>
              <w:rPr>
                <w:sz w:val="14"/>
                <w:szCs w:val="14"/>
                <w:color w:val="auto"/>
              </w:rPr>
            </w:pPr>
          </w:p>
        </w:tc>
        <w:tc>
          <w:tcPr>
            <w:tcW w:w="260" w:type="dxa"/>
            <w:vAlign w:val="bottom"/>
            <w:shd w:val="clear" w:color="auto" w:fill="0B4B73"/>
          </w:tcPr>
          <w:p>
            <w:pPr>
              <w:spacing w:after="0"/>
              <w:rPr>
                <w:sz w:val="14"/>
                <w:szCs w:val="14"/>
                <w:color w:val="auto"/>
              </w:rPr>
            </w:pPr>
          </w:p>
        </w:tc>
        <w:tc>
          <w:tcPr>
            <w:tcW w:w="28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1140" w:type="dxa"/>
            <w:vAlign w:val="bottom"/>
            <w:gridSpan w:val="3"/>
            <w:shd w:val="clear" w:color="auto" w:fill="0B4B73"/>
          </w:tcPr>
          <w:p>
            <w:pPr>
              <w:jc w:val="right"/>
              <w:ind w:right="288"/>
              <w:spacing w:after="0"/>
              <w:rPr>
                <w:sz w:val="20"/>
                <w:szCs w:val="20"/>
                <w:color w:val="auto"/>
              </w:rPr>
            </w:pPr>
            <w:r>
              <w:rPr>
                <w:rFonts w:ascii="Arial" w:cs="Arial" w:eastAsia="Arial" w:hAnsi="Arial"/>
                <w:sz w:val="14"/>
                <w:szCs w:val="14"/>
                <w:b w:val="1"/>
                <w:bCs w:val="1"/>
                <w:color w:val="FFFFFF"/>
              </w:rPr>
              <w:t>Fiscal Year</w:t>
            </w:r>
          </w:p>
        </w:tc>
        <w:tc>
          <w:tcPr>
            <w:tcW w:w="1420" w:type="dxa"/>
            <w:vAlign w:val="bottom"/>
            <w:shd w:val="clear" w:color="auto" w:fill="0B4B7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Borders>
              <w:bottom w:val="single" w:sz="8" w:color="C3D041"/>
            </w:tcBorders>
            <w:shd w:val="clear" w:color="auto" w:fill="0B4B73"/>
          </w:tcPr>
          <w:p>
            <w:pPr>
              <w:spacing w:after="0"/>
              <w:rPr>
                <w:sz w:val="16"/>
                <w:szCs w:val="16"/>
                <w:color w:val="auto"/>
              </w:rPr>
            </w:pPr>
          </w:p>
        </w:tc>
        <w:tc>
          <w:tcPr>
            <w:tcW w:w="3380" w:type="dxa"/>
            <w:vAlign w:val="bottom"/>
            <w:tcBorders>
              <w:bottom w:val="single" w:sz="8" w:color="C3D041"/>
            </w:tcBorders>
            <w:shd w:val="clear" w:color="auto" w:fill="0B4B73"/>
          </w:tcPr>
          <w:p>
            <w:pPr>
              <w:spacing w:after="0"/>
              <w:rPr>
                <w:sz w:val="16"/>
                <w:szCs w:val="16"/>
                <w:color w:val="auto"/>
              </w:rPr>
            </w:pPr>
          </w:p>
        </w:tc>
        <w:tc>
          <w:tcPr>
            <w:tcW w:w="260" w:type="dxa"/>
            <w:vAlign w:val="bottom"/>
            <w:tcBorders>
              <w:bottom w:val="single" w:sz="8" w:color="C3D041"/>
            </w:tcBorders>
            <w:shd w:val="clear" w:color="auto" w:fill="0B4B73"/>
          </w:tcPr>
          <w:p>
            <w:pPr>
              <w:spacing w:after="0"/>
              <w:rPr>
                <w:sz w:val="16"/>
                <w:szCs w:val="16"/>
                <w:color w:val="auto"/>
              </w:rPr>
            </w:pPr>
          </w:p>
        </w:tc>
        <w:tc>
          <w:tcPr>
            <w:tcW w:w="280" w:type="dxa"/>
            <w:vAlign w:val="bottom"/>
            <w:tcBorders>
              <w:bottom w:val="single" w:sz="8" w:color="C3D041"/>
            </w:tcBorders>
            <w:shd w:val="clear" w:color="auto" w:fill="0B4B73"/>
          </w:tcPr>
          <w:p>
            <w:pPr>
              <w:spacing w:after="0"/>
              <w:rPr>
                <w:sz w:val="16"/>
                <w:szCs w:val="16"/>
                <w:color w:val="auto"/>
              </w:rPr>
            </w:pPr>
          </w:p>
        </w:tc>
        <w:tc>
          <w:tcPr>
            <w:tcW w:w="1020" w:type="dxa"/>
            <w:vAlign w:val="bottom"/>
            <w:tcBorders>
              <w:bottom w:val="single" w:sz="8" w:color="C3D041"/>
            </w:tcBorders>
            <w:shd w:val="clear" w:color="auto" w:fill="0B4B73"/>
          </w:tcPr>
          <w:p>
            <w:pPr>
              <w:jc w:val="right"/>
              <w:ind w:right="448"/>
              <w:spacing w:after="0"/>
              <w:rPr>
                <w:sz w:val="20"/>
                <w:szCs w:val="20"/>
                <w:color w:val="auto"/>
              </w:rPr>
            </w:pPr>
            <w:r>
              <w:rPr>
                <w:rFonts w:ascii="Arial" w:cs="Arial" w:eastAsia="Arial" w:hAnsi="Arial"/>
                <w:sz w:val="14"/>
                <w:szCs w:val="14"/>
                <w:b w:val="1"/>
                <w:bCs w:val="1"/>
                <w:color w:val="FFFFFF"/>
              </w:rPr>
              <w:t>2025</w:t>
            </w:r>
          </w:p>
        </w:tc>
        <w:tc>
          <w:tcPr>
            <w:tcW w:w="400" w:type="dxa"/>
            <w:vAlign w:val="bottom"/>
            <w:tcBorders>
              <w:bottom w:val="single" w:sz="8" w:color="C3D041"/>
            </w:tcBorders>
            <w:shd w:val="clear" w:color="auto" w:fill="0B4B73"/>
          </w:tcPr>
          <w:p>
            <w:pPr>
              <w:spacing w:after="0"/>
              <w:rPr>
                <w:sz w:val="16"/>
                <w:szCs w:val="16"/>
                <w:color w:val="auto"/>
              </w:rPr>
            </w:pPr>
          </w:p>
        </w:tc>
        <w:tc>
          <w:tcPr>
            <w:tcW w:w="460" w:type="dxa"/>
            <w:vAlign w:val="bottom"/>
            <w:tcBorders>
              <w:bottom w:val="single" w:sz="8" w:color="C3D041"/>
            </w:tcBorders>
            <w:shd w:val="clear" w:color="auto" w:fill="0B4B73"/>
          </w:tcPr>
          <w:p>
            <w:pPr>
              <w:spacing w:after="0"/>
              <w:rPr>
                <w:sz w:val="16"/>
                <w:szCs w:val="16"/>
                <w:color w:val="auto"/>
              </w:rPr>
            </w:pPr>
          </w:p>
        </w:tc>
        <w:tc>
          <w:tcPr>
            <w:tcW w:w="280" w:type="dxa"/>
            <w:vAlign w:val="bottom"/>
            <w:tcBorders>
              <w:bottom w:val="single" w:sz="8" w:color="C3D041"/>
            </w:tcBorders>
            <w:shd w:val="clear" w:color="auto" w:fill="0B4B73"/>
          </w:tcPr>
          <w:p>
            <w:pPr>
              <w:spacing w:after="0"/>
              <w:rPr>
                <w:sz w:val="16"/>
                <w:szCs w:val="16"/>
                <w:color w:val="auto"/>
              </w:rPr>
            </w:pPr>
          </w:p>
        </w:tc>
        <w:tc>
          <w:tcPr>
            <w:tcW w:w="1420" w:type="dxa"/>
            <w:vAlign w:val="bottom"/>
            <w:tcBorders>
              <w:bottom w:val="single" w:sz="8" w:color="C3D041"/>
            </w:tcBorders>
            <w:shd w:val="clear" w:color="auto" w:fill="0B4B73"/>
          </w:tcPr>
          <w:p>
            <w:pPr>
              <w:jc w:val="right"/>
              <w:ind w:right="848"/>
              <w:spacing w:after="0"/>
              <w:rPr>
                <w:sz w:val="20"/>
                <w:szCs w:val="20"/>
                <w:color w:val="auto"/>
              </w:rPr>
            </w:pPr>
            <w:r>
              <w:rPr>
                <w:rFonts w:ascii="Arial" w:cs="Arial" w:eastAsia="Arial" w:hAnsi="Arial"/>
                <w:sz w:val="14"/>
                <w:szCs w:val="14"/>
                <w:b w:val="1"/>
                <w:bCs w:val="1"/>
                <w:color w:val="FFFFFF"/>
              </w:rPr>
              <w:t>2024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2"/>
            <w:shd w:val="clear" w:color="auto" w:fill="E4EDF1"/>
          </w:tcPr>
          <w:p>
            <w:pPr>
              <w:spacing w:after="0"/>
              <w:rPr>
                <w:sz w:val="20"/>
                <w:szCs w:val="20"/>
                <w:color w:val="auto"/>
              </w:rPr>
            </w:pPr>
            <w:r>
              <w:rPr>
                <w:rFonts w:ascii="Arial" w:cs="Arial" w:eastAsia="Arial" w:hAnsi="Arial"/>
                <w:sz w:val="14"/>
                <w:szCs w:val="14"/>
                <w:b w:val="1"/>
                <w:bCs w:val="1"/>
                <w:color w:val="auto"/>
              </w:rPr>
              <w:t>Summary Compensation Table Total for PEO</w:t>
            </w:r>
          </w:p>
        </w:tc>
        <w:tc>
          <w:tcPr>
            <w:tcW w:w="540" w:type="dxa"/>
            <w:vAlign w:val="bottom"/>
            <w:gridSpan w:val="2"/>
            <w:shd w:val="clear" w:color="auto" w:fill="E4EDF1"/>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9,656,400</w:t>
            </w:r>
          </w:p>
        </w:tc>
        <w:tc>
          <w:tcPr>
            <w:tcW w:w="1140" w:type="dxa"/>
            <w:vAlign w:val="bottom"/>
            <w:gridSpan w:val="3"/>
            <w:shd w:val="clear" w:color="auto" w:fill="E4EDF1"/>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4EDF1"/>
          </w:tcPr>
          <w:p>
            <w:pPr>
              <w:jc w:val="right"/>
              <w:ind w:right="388"/>
              <w:spacing w:after="0"/>
              <w:rPr>
                <w:sz w:val="20"/>
                <w:szCs w:val="20"/>
                <w:color w:val="auto"/>
              </w:rPr>
            </w:pPr>
            <w:r>
              <w:rPr>
                <w:rFonts w:ascii="Arial" w:cs="Arial" w:eastAsia="Arial" w:hAnsi="Arial"/>
                <w:sz w:val="14"/>
                <w:szCs w:val="14"/>
                <w:color w:val="auto"/>
              </w:rPr>
              <w:t>7,174,995</w:t>
            </w:r>
          </w:p>
        </w:tc>
        <w:tc>
          <w:tcPr>
            <w:tcW w:w="0" w:type="dxa"/>
            <w:vAlign w:val="bottom"/>
          </w:tcPr>
          <w:p>
            <w:pPr>
              <w:spacing w:after="0"/>
              <w:rPr>
                <w:sz w:val="1"/>
                <w:szCs w:val="1"/>
                <w:color w:val="auto"/>
              </w:rPr>
            </w:pPr>
          </w:p>
        </w:tc>
      </w:tr>
      <w:tr>
        <w:trPr>
          <w:trHeight w:val="153"/>
        </w:trPr>
        <w:tc>
          <w:tcPr>
            <w:tcW w:w="400" w:type="dxa"/>
            <w:vAlign w:val="bottom"/>
            <w:gridSpan w:val="2"/>
            <w:vMerge w:val="restart"/>
          </w:tcPr>
          <w:p>
            <w:pPr>
              <w:jc w:val="center"/>
              <w:spacing w:after="0"/>
              <w:rPr>
                <w:sz w:val="20"/>
                <w:szCs w:val="20"/>
                <w:color w:val="auto"/>
              </w:rPr>
            </w:pPr>
            <w:r>
              <w:rPr>
                <w:rFonts w:ascii="Arial" w:cs="Arial" w:eastAsia="Arial" w:hAnsi="Arial"/>
                <w:sz w:val="14"/>
                <w:szCs w:val="14"/>
                <w:color w:val="auto"/>
              </w:rPr>
              <w:t>( - )</w:t>
            </w:r>
          </w:p>
        </w:tc>
        <w:tc>
          <w:tcPr>
            <w:tcW w:w="3380" w:type="dxa"/>
            <w:vAlign w:val="bottom"/>
          </w:tcPr>
          <w:p>
            <w:pPr>
              <w:ind w:left="60"/>
              <w:spacing w:after="0" w:line="153" w:lineRule="exact"/>
              <w:rPr>
                <w:sz w:val="20"/>
                <w:szCs w:val="20"/>
                <w:color w:val="auto"/>
              </w:rPr>
            </w:pPr>
            <w:r>
              <w:rPr>
                <w:rFonts w:ascii="Arial" w:cs="Arial" w:eastAsia="Arial" w:hAnsi="Arial"/>
                <w:sz w:val="14"/>
                <w:szCs w:val="14"/>
                <w:color w:val="auto"/>
              </w:rPr>
              <w:t>Grant Date Fair Value of Stock Options Granted</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 w:type="dxa"/>
            <w:vAlign w:val="bottom"/>
            <w:gridSpan w:val="2"/>
            <w:vMerge w:val="continue"/>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in the Fiscal Year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(6,176,110)</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(3,842,080)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shd w:val="clear" w:color="auto" w:fill="E4EDF1"/>
          </w:tcPr>
          <w:p>
            <w:pPr>
              <w:spacing w:after="0"/>
              <w:rPr>
                <w:sz w:val="13"/>
                <w:szCs w:val="13"/>
                <w:color w:val="auto"/>
              </w:rPr>
            </w:pPr>
          </w:p>
        </w:tc>
        <w:tc>
          <w:tcPr>
            <w:tcW w:w="3380" w:type="dxa"/>
            <w:vAlign w:val="bottom"/>
            <w:shd w:val="clear" w:color="auto" w:fill="E4EDF1"/>
          </w:tcPr>
          <w:p>
            <w:pPr>
              <w:ind w:left="60"/>
              <w:spacing w:after="0" w:line="153" w:lineRule="exact"/>
              <w:rPr>
                <w:sz w:val="20"/>
                <w:szCs w:val="20"/>
                <w:color w:val="auto"/>
              </w:rPr>
            </w:pPr>
            <w:r>
              <w:rPr>
                <w:rFonts w:ascii="Arial" w:cs="Arial" w:eastAsia="Arial" w:hAnsi="Arial"/>
                <w:sz w:val="14"/>
                <w:szCs w:val="14"/>
                <w:color w:val="auto"/>
              </w:rPr>
              <w:t>Fair Value at Fiscal Year End of Outstanding</w:t>
            </w:r>
          </w:p>
        </w:tc>
        <w:tc>
          <w:tcPr>
            <w:tcW w:w="2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020" w:type="dxa"/>
            <w:vAlign w:val="bottom"/>
            <w:shd w:val="clear" w:color="auto" w:fill="E4EDF1"/>
          </w:tcPr>
          <w:p>
            <w:pPr>
              <w:spacing w:after="0"/>
              <w:rPr>
                <w:sz w:val="13"/>
                <w:szCs w:val="13"/>
                <w:color w:val="auto"/>
              </w:rPr>
            </w:pPr>
          </w:p>
        </w:tc>
        <w:tc>
          <w:tcPr>
            <w:tcW w:w="400" w:type="dxa"/>
            <w:vAlign w:val="bottom"/>
            <w:shd w:val="clear" w:color="auto" w:fill="E4EDF1"/>
          </w:tcPr>
          <w:p>
            <w:pPr>
              <w:spacing w:after="0"/>
              <w:rPr>
                <w:sz w:val="13"/>
                <w:szCs w:val="13"/>
                <w:color w:val="auto"/>
              </w:rPr>
            </w:pPr>
          </w:p>
        </w:tc>
        <w:tc>
          <w:tcPr>
            <w:tcW w:w="4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420" w:type="dxa"/>
            <w:vAlign w:val="bottom"/>
            <w:shd w:val="clear" w:color="auto" w:fill="E4EDF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shd w:val="clear" w:color="auto" w:fill="E4EDF1"/>
          </w:tcPr>
          <w:p>
            <w:pPr>
              <w:jc w:val="center"/>
              <w:spacing w:after="0"/>
              <w:rPr>
                <w:sz w:val="20"/>
                <w:szCs w:val="20"/>
                <w:color w:val="auto"/>
              </w:rPr>
            </w:pPr>
            <w:r>
              <w:rPr>
                <w:rFonts w:ascii="Arial" w:cs="Arial" w:eastAsia="Arial" w:hAnsi="Arial"/>
                <w:sz w:val="14"/>
                <w:szCs w:val="14"/>
                <w:color w:val="auto"/>
              </w:rPr>
              <w:t>( + )</w:t>
            </w:r>
          </w:p>
        </w:tc>
        <w:tc>
          <w:tcPr>
            <w:tcW w:w="3380" w:type="dxa"/>
            <w:vAlign w:val="bottom"/>
            <w:shd w:val="clear" w:color="auto" w:fill="E4EDF1"/>
          </w:tcPr>
          <w:p>
            <w:pPr>
              <w:ind w:left="60"/>
              <w:spacing w:after="0"/>
              <w:rPr>
                <w:sz w:val="20"/>
                <w:szCs w:val="20"/>
                <w:color w:val="auto"/>
              </w:rPr>
            </w:pPr>
            <w:r>
              <w:rPr>
                <w:rFonts w:ascii="Arial" w:cs="Arial" w:eastAsia="Arial" w:hAnsi="Arial"/>
                <w:sz w:val="14"/>
                <w:szCs w:val="14"/>
                <w:color w:val="auto"/>
              </w:rPr>
              <w:t>and Unvested Stock Options Granted in the</w:t>
            </w:r>
          </w:p>
        </w:tc>
        <w:tc>
          <w:tcPr>
            <w:tcW w:w="2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020" w:type="dxa"/>
            <w:vAlign w:val="bottom"/>
            <w:shd w:val="clear" w:color="auto" w:fill="E4EDF1"/>
          </w:tcPr>
          <w:p>
            <w:pPr>
              <w:spacing w:after="0"/>
              <w:rPr>
                <w:sz w:val="14"/>
                <w:szCs w:val="14"/>
                <w:color w:val="auto"/>
              </w:rPr>
            </w:pPr>
          </w:p>
        </w:tc>
        <w:tc>
          <w:tcPr>
            <w:tcW w:w="400" w:type="dxa"/>
            <w:vAlign w:val="bottom"/>
            <w:shd w:val="clear" w:color="auto" w:fill="E4EDF1"/>
          </w:tcPr>
          <w:p>
            <w:pPr>
              <w:spacing w:after="0"/>
              <w:rPr>
                <w:sz w:val="14"/>
                <w:szCs w:val="14"/>
                <w:color w:val="auto"/>
              </w:rPr>
            </w:pPr>
          </w:p>
        </w:tc>
        <w:tc>
          <w:tcPr>
            <w:tcW w:w="4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420" w:type="dxa"/>
            <w:vAlign w:val="bottom"/>
            <w:shd w:val="clear" w:color="auto" w:fill="E4EDF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shd w:val="clear" w:color="auto" w:fill="E4EDF1"/>
          </w:tcPr>
          <w:p>
            <w:pPr>
              <w:spacing w:after="0"/>
              <w:rPr>
                <w:sz w:val="14"/>
                <w:szCs w:val="14"/>
                <w:color w:val="auto"/>
              </w:rPr>
            </w:pPr>
          </w:p>
        </w:tc>
        <w:tc>
          <w:tcPr>
            <w:tcW w:w="3380" w:type="dxa"/>
            <w:vAlign w:val="bottom"/>
            <w:shd w:val="clear" w:color="auto" w:fill="E4EDF1"/>
          </w:tcPr>
          <w:p>
            <w:pPr>
              <w:ind w:left="60"/>
              <w:spacing w:after="0"/>
              <w:rPr>
                <w:sz w:val="20"/>
                <w:szCs w:val="20"/>
                <w:color w:val="auto"/>
              </w:rPr>
            </w:pPr>
            <w:r>
              <w:rPr>
                <w:rFonts w:ascii="Arial" w:cs="Arial" w:eastAsia="Arial" w:hAnsi="Arial"/>
                <w:sz w:val="14"/>
                <w:szCs w:val="14"/>
                <w:color w:val="auto"/>
              </w:rPr>
              <w:t>Fiscal Year</w:t>
            </w:r>
          </w:p>
        </w:tc>
        <w:tc>
          <w:tcPr>
            <w:tcW w:w="2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4,773,539</w:t>
            </w:r>
          </w:p>
        </w:tc>
        <w:tc>
          <w:tcPr>
            <w:tcW w:w="400" w:type="dxa"/>
            <w:vAlign w:val="bottom"/>
            <w:shd w:val="clear" w:color="auto" w:fill="E4EDF1"/>
          </w:tcPr>
          <w:p>
            <w:pPr>
              <w:spacing w:after="0"/>
              <w:rPr>
                <w:sz w:val="14"/>
                <w:szCs w:val="14"/>
                <w:color w:val="auto"/>
              </w:rPr>
            </w:pPr>
          </w:p>
        </w:tc>
        <w:tc>
          <w:tcPr>
            <w:tcW w:w="4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420" w:type="dxa"/>
            <w:vAlign w:val="bottom"/>
            <w:shd w:val="clear" w:color="auto" w:fill="E4EDF1"/>
          </w:tcPr>
          <w:p>
            <w:pPr>
              <w:jc w:val="right"/>
              <w:ind w:right="388"/>
              <w:spacing w:after="0"/>
              <w:rPr>
                <w:sz w:val="20"/>
                <w:szCs w:val="20"/>
                <w:color w:val="auto"/>
              </w:rPr>
            </w:pPr>
            <w:r>
              <w:rPr>
                <w:rFonts w:ascii="Arial" w:cs="Arial" w:eastAsia="Arial" w:hAnsi="Arial"/>
                <w:sz w:val="14"/>
                <w:szCs w:val="14"/>
                <w:color w:val="auto"/>
              </w:rPr>
              <w:t>7,649,271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Pr>
          <w:p>
            <w:pPr>
              <w:ind w:left="60"/>
              <w:spacing w:after="0" w:line="153" w:lineRule="exact"/>
              <w:rPr>
                <w:sz w:val="20"/>
                <w:szCs w:val="20"/>
                <w:color w:val="auto"/>
              </w:rPr>
            </w:pPr>
            <w:r>
              <w:rPr>
                <w:rFonts w:ascii="Arial" w:cs="Arial" w:eastAsia="Arial" w:hAnsi="Arial"/>
                <w:sz w:val="14"/>
                <w:szCs w:val="14"/>
                <w:color w:val="auto"/>
              </w:rPr>
              <w:t>Change in Fair Value at Fiscal Year End of</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 w:type="dxa"/>
            <w:vAlign w:val="bottom"/>
            <w:gridSpan w:val="2"/>
          </w:tcPr>
          <w:p>
            <w:pPr>
              <w:jc w:val="center"/>
              <w:spacing w:after="0"/>
              <w:rPr>
                <w:sz w:val="20"/>
                <w:szCs w:val="20"/>
                <w:color w:val="auto"/>
              </w:rPr>
            </w:pPr>
            <w:r>
              <w:rPr>
                <w:rFonts w:ascii="Arial" w:cs="Arial" w:eastAsia="Arial" w:hAnsi="Arial"/>
                <w:sz w:val="14"/>
                <w:szCs w:val="14"/>
                <w:color w:val="auto"/>
              </w:rPr>
              <w:t>( + )</w:t>
            </w:r>
          </w:p>
        </w:tc>
        <w:tc>
          <w:tcPr>
            <w:tcW w:w="3380" w:type="dxa"/>
            <w:vAlign w:val="bottom"/>
          </w:tcPr>
          <w:p>
            <w:pPr>
              <w:ind w:left="60"/>
              <w:spacing w:after="0"/>
              <w:rPr>
                <w:sz w:val="20"/>
                <w:szCs w:val="20"/>
                <w:color w:val="auto"/>
              </w:rPr>
            </w:pPr>
            <w:r>
              <w:rPr>
                <w:rFonts w:ascii="Arial" w:cs="Arial" w:eastAsia="Arial" w:hAnsi="Arial"/>
                <w:sz w:val="14"/>
                <w:szCs w:val="14"/>
                <w:color w:val="auto"/>
              </w:rPr>
              <w:t>Outstanding and Unvested Stock Options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Granted in Prior Fiscal Years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143,534</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2,393,046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vMerge w:val="restart"/>
            <w:shd w:val="clear" w:color="auto" w:fill="E4EDF1"/>
          </w:tcPr>
          <w:p>
            <w:pPr>
              <w:jc w:val="center"/>
              <w:spacing w:after="0"/>
              <w:rPr>
                <w:sz w:val="20"/>
                <w:szCs w:val="20"/>
                <w:color w:val="auto"/>
              </w:rPr>
            </w:pPr>
            <w:r>
              <w:rPr>
                <w:rFonts w:ascii="Arial" w:cs="Arial" w:eastAsia="Arial" w:hAnsi="Arial"/>
                <w:sz w:val="14"/>
                <w:szCs w:val="14"/>
                <w:color w:val="auto"/>
              </w:rPr>
              <w:t>( + )</w:t>
            </w:r>
          </w:p>
        </w:tc>
        <w:tc>
          <w:tcPr>
            <w:tcW w:w="3380" w:type="dxa"/>
            <w:vAlign w:val="bottom"/>
            <w:shd w:val="clear" w:color="auto" w:fill="E4EDF1"/>
          </w:tcPr>
          <w:p>
            <w:pPr>
              <w:ind w:left="60"/>
              <w:spacing w:after="0" w:line="153" w:lineRule="exact"/>
              <w:rPr>
                <w:sz w:val="20"/>
                <w:szCs w:val="20"/>
                <w:color w:val="auto"/>
              </w:rPr>
            </w:pPr>
            <w:r>
              <w:rPr>
                <w:rFonts w:ascii="Arial" w:cs="Arial" w:eastAsia="Arial" w:hAnsi="Arial"/>
                <w:sz w:val="14"/>
                <w:szCs w:val="14"/>
                <w:color w:val="auto"/>
              </w:rPr>
              <w:t>Fair Value at Vesting of Stock Options Granted</w:t>
            </w:r>
          </w:p>
        </w:tc>
        <w:tc>
          <w:tcPr>
            <w:tcW w:w="2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020" w:type="dxa"/>
            <w:vAlign w:val="bottom"/>
            <w:shd w:val="clear" w:color="auto" w:fill="E4EDF1"/>
          </w:tcPr>
          <w:p>
            <w:pPr>
              <w:spacing w:after="0"/>
              <w:rPr>
                <w:sz w:val="13"/>
                <w:szCs w:val="13"/>
                <w:color w:val="auto"/>
              </w:rPr>
            </w:pPr>
          </w:p>
        </w:tc>
        <w:tc>
          <w:tcPr>
            <w:tcW w:w="400" w:type="dxa"/>
            <w:vAlign w:val="bottom"/>
            <w:shd w:val="clear" w:color="auto" w:fill="E4EDF1"/>
          </w:tcPr>
          <w:p>
            <w:pPr>
              <w:spacing w:after="0"/>
              <w:rPr>
                <w:sz w:val="13"/>
                <w:szCs w:val="13"/>
                <w:color w:val="auto"/>
              </w:rPr>
            </w:pPr>
          </w:p>
        </w:tc>
        <w:tc>
          <w:tcPr>
            <w:tcW w:w="4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420" w:type="dxa"/>
            <w:vAlign w:val="bottom"/>
            <w:shd w:val="clear" w:color="auto" w:fill="E4EDF1"/>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vMerge w:val="continue"/>
            <w:shd w:val="clear" w:color="auto" w:fill="E4EDF1"/>
          </w:tcPr>
          <w:p>
            <w:pPr>
              <w:spacing w:after="0"/>
              <w:rPr>
                <w:sz w:val="14"/>
                <w:szCs w:val="14"/>
                <w:color w:val="auto"/>
              </w:rPr>
            </w:pPr>
          </w:p>
        </w:tc>
        <w:tc>
          <w:tcPr>
            <w:tcW w:w="3380" w:type="dxa"/>
            <w:vAlign w:val="bottom"/>
            <w:shd w:val="clear" w:color="auto" w:fill="E4EDF1"/>
          </w:tcPr>
          <w:p>
            <w:pPr>
              <w:ind w:left="60"/>
              <w:spacing w:after="0"/>
              <w:rPr>
                <w:sz w:val="20"/>
                <w:szCs w:val="20"/>
                <w:color w:val="auto"/>
              </w:rPr>
            </w:pPr>
            <w:r>
              <w:rPr>
                <w:rFonts w:ascii="Arial" w:cs="Arial" w:eastAsia="Arial" w:hAnsi="Arial"/>
                <w:sz w:val="14"/>
                <w:szCs w:val="14"/>
                <w:color w:val="auto"/>
              </w:rPr>
              <w:t>and Vested in the Fiscal Year</w:t>
            </w:r>
          </w:p>
        </w:tc>
        <w:tc>
          <w:tcPr>
            <w:tcW w:w="2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1,534,951</w:t>
            </w:r>
          </w:p>
        </w:tc>
        <w:tc>
          <w:tcPr>
            <w:tcW w:w="400" w:type="dxa"/>
            <w:vAlign w:val="bottom"/>
            <w:shd w:val="clear" w:color="auto" w:fill="E4EDF1"/>
          </w:tcPr>
          <w:p>
            <w:pPr>
              <w:spacing w:after="0"/>
              <w:rPr>
                <w:sz w:val="14"/>
                <w:szCs w:val="14"/>
                <w:color w:val="auto"/>
              </w:rPr>
            </w:pPr>
          </w:p>
        </w:tc>
        <w:tc>
          <w:tcPr>
            <w:tcW w:w="4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420" w:type="dxa"/>
            <w:vAlign w:val="bottom"/>
            <w:shd w:val="clear" w:color="auto" w:fill="E4EDF1"/>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Pr>
          <w:p>
            <w:pPr>
              <w:ind w:left="60"/>
              <w:spacing w:after="0" w:line="153" w:lineRule="exact"/>
              <w:rPr>
                <w:sz w:val="20"/>
                <w:szCs w:val="20"/>
                <w:color w:val="auto"/>
              </w:rPr>
            </w:pPr>
            <w:r>
              <w:rPr>
                <w:rFonts w:ascii="Arial" w:cs="Arial" w:eastAsia="Arial" w:hAnsi="Arial"/>
                <w:sz w:val="14"/>
                <w:szCs w:val="14"/>
                <w:color w:val="auto"/>
              </w:rPr>
              <w:t>Change in Fair Value as of the Vesting Date of</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 w:type="dxa"/>
            <w:vAlign w:val="bottom"/>
            <w:gridSpan w:val="2"/>
          </w:tcPr>
          <w:p>
            <w:pPr>
              <w:jc w:val="center"/>
              <w:spacing w:after="0"/>
              <w:rPr>
                <w:sz w:val="20"/>
                <w:szCs w:val="20"/>
                <w:color w:val="auto"/>
              </w:rPr>
            </w:pPr>
            <w:r>
              <w:rPr>
                <w:rFonts w:ascii="Arial" w:cs="Arial" w:eastAsia="Arial" w:hAnsi="Arial"/>
                <w:sz w:val="14"/>
                <w:szCs w:val="14"/>
                <w:color w:val="auto"/>
              </w:rPr>
              <w:t>( + )</w:t>
            </w:r>
          </w:p>
        </w:tc>
        <w:tc>
          <w:tcPr>
            <w:tcW w:w="3380" w:type="dxa"/>
            <w:vAlign w:val="bottom"/>
          </w:tcPr>
          <w:p>
            <w:pPr>
              <w:ind w:left="60"/>
              <w:spacing w:after="0"/>
              <w:rPr>
                <w:sz w:val="20"/>
                <w:szCs w:val="20"/>
                <w:color w:val="auto"/>
              </w:rPr>
            </w:pPr>
            <w:r>
              <w:rPr>
                <w:rFonts w:ascii="Arial" w:cs="Arial" w:eastAsia="Arial" w:hAnsi="Arial"/>
                <w:sz w:val="14"/>
                <w:szCs w:val="14"/>
                <w:color w:val="auto"/>
              </w:rPr>
              <w:t>Stock Options Granted in Prior Fiscal Years that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316,770</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vMerge w:val="restart"/>
          </w:tcPr>
          <w:p>
            <w:pPr>
              <w:jc w:val="right"/>
              <w:ind w:right="388"/>
              <w:spacing w:after="0"/>
              <w:rPr>
                <w:sz w:val="20"/>
                <w:szCs w:val="20"/>
                <w:color w:val="auto"/>
              </w:rPr>
            </w:pPr>
            <w:r>
              <w:rPr>
                <w:rFonts w:ascii="Arial" w:cs="Arial" w:eastAsia="Arial" w:hAnsi="Arial"/>
                <w:sz w:val="14"/>
                <w:szCs w:val="14"/>
                <w:color w:val="auto"/>
              </w:rPr>
              <w:t>1,214,330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Pr>
          <w:p>
            <w:pPr>
              <w:ind w:left="60"/>
              <w:spacing w:after="0" w:line="158" w:lineRule="exact"/>
              <w:rPr>
                <w:sz w:val="20"/>
                <w:szCs w:val="20"/>
                <w:color w:val="auto"/>
              </w:rPr>
            </w:pPr>
            <w:r>
              <w:rPr>
                <w:rFonts w:ascii="Arial" w:cs="Arial" w:eastAsia="Arial" w:hAnsi="Arial"/>
                <w:sz w:val="14"/>
                <w:szCs w:val="14"/>
                <w:color w:val="auto"/>
              </w:rPr>
              <w:t>Vested in the Fiscal Year</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3760" w:type="dxa"/>
            <w:vAlign w:val="bottom"/>
            <w:tcBorders>
              <w:bottom w:val="single" w:sz="8" w:color="E4EDF1"/>
            </w:tcBorders>
            <w:gridSpan w:val="2"/>
            <w:shd w:val="clear" w:color="auto" w:fill="E4EDF1"/>
          </w:tcPr>
          <w:p>
            <w:pPr>
              <w:spacing w:after="0" w:line="155" w:lineRule="exact"/>
              <w:rPr>
                <w:sz w:val="20"/>
                <w:szCs w:val="20"/>
                <w:color w:val="auto"/>
              </w:rPr>
            </w:pPr>
            <w:r>
              <w:rPr>
                <w:rFonts w:ascii="Arial" w:cs="Arial" w:eastAsia="Arial" w:hAnsi="Arial"/>
                <w:sz w:val="14"/>
                <w:szCs w:val="14"/>
                <w:b w:val="1"/>
                <w:bCs w:val="1"/>
                <w:color w:val="auto"/>
              </w:rPr>
              <w:t>Compensation Actually Paid to PEO</w:t>
            </w:r>
          </w:p>
        </w:tc>
        <w:tc>
          <w:tcPr>
            <w:tcW w:w="260" w:type="dxa"/>
            <w:vAlign w:val="bottom"/>
            <w:tcBorders>
              <w:bottom w:val="single" w:sz="8" w:color="E4EDF1"/>
            </w:tcBorders>
            <w:shd w:val="clear" w:color="auto" w:fill="E4EDF1"/>
          </w:tcPr>
          <w:p>
            <w:pPr>
              <w:spacing w:after="0"/>
              <w:rPr>
                <w:sz w:val="17"/>
                <w:szCs w:val="17"/>
                <w:color w:val="auto"/>
              </w:rPr>
            </w:pPr>
          </w:p>
        </w:tc>
        <w:tc>
          <w:tcPr>
            <w:tcW w:w="280" w:type="dxa"/>
            <w:vAlign w:val="bottom"/>
            <w:tcBorders>
              <w:bottom w:val="single" w:sz="8" w:color="auto"/>
            </w:tcBorders>
            <w:shd w:val="clear" w:color="auto" w:fill="E4EDF1"/>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E4EDF1"/>
          </w:tcPr>
          <w:p>
            <w:pPr>
              <w:jc w:val="right"/>
              <w:spacing w:after="0" w:line="142" w:lineRule="exact"/>
              <w:rPr>
                <w:sz w:val="20"/>
                <w:szCs w:val="20"/>
                <w:color w:val="auto"/>
              </w:rPr>
            </w:pPr>
            <w:r>
              <w:rPr>
                <w:rFonts w:ascii="Arial" w:cs="Arial" w:eastAsia="Arial" w:hAnsi="Arial"/>
                <w:sz w:val="14"/>
                <w:szCs w:val="14"/>
                <w:color w:val="auto"/>
              </w:rPr>
              <w:t>10,249,084</w:t>
            </w:r>
          </w:p>
        </w:tc>
        <w:tc>
          <w:tcPr>
            <w:tcW w:w="400" w:type="dxa"/>
            <w:vAlign w:val="bottom"/>
            <w:tcBorders>
              <w:bottom w:val="single" w:sz="8" w:color="auto"/>
            </w:tcBorders>
            <w:shd w:val="clear" w:color="auto" w:fill="E4EDF1"/>
          </w:tcPr>
          <w:p>
            <w:pPr>
              <w:spacing w:after="0"/>
              <w:rPr>
                <w:sz w:val="17"/>
                <w:szCs w:val="17"/>
                <w:color w:val="auto"/>
              </w:rPr>
            </w:pPr>
          </w:p>
        </w:tc>
        <w:tc>
          <w:tcPr>
            <w:tcW w:w="460" w:type="dxa"/>
            <w:vAlign w:val="bottom"/>
            <w:tcBorders>
              <w:bottom w:val="single" w:sz="8" w:color="E4EDF1"/>
            </w:tcBorders>
            <w:shd w:val="clear" w:color="auto" w:fill="E4EDF1"/>
          </w:tcPr>
          <w:p>
            <w:pPr>
              <w:spacing w:after="0"/>
              <w:rPr>
                <w:sz w:val="17"/>
                <w:szCs w:val="17"/>
                <w:color w:val="auto"/>
              </w:rPr>
            </w:pPr>
          </w:p>
        </w:tc>
        <w:tc>
          <w:tcPr>
            <w:tcW w:w="280" w:type="dxa"/>
            <w:vAlign w:val="bottom"/>
            <w:tcBorders>
              <w:bottom w:val="single" w:sz="8" w:color="auto"/>
            </w:tcBorders>
            <w:shd w:val="clear" w:color="auto" w:fill="E4EDF1"/>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E4EDF1"/>
          </w:tcPr>
          <w:p>
            <w:pPr>
              <w:jc w:val="right"/>
              <w:ind w:right="388"/>
              <w:spacing w:after="0" w:line="142" w:lineRule="exact"/>
              <w:rPr>
                <w:sz w:val="20"/>
                <w:szCs w:val="20"/>
                <w:color w:val="auto"/>
              </w:rPr>
            </w:pPr>
            <w:r>
              <w:rPr>
                <w:rFonts w:ascii="Arial" w:cs="Arial" w:eastAsia="Arial" w:hAnsi="Arial"/>
                <w:sz w:val="14"/>
                <w:szCs w:val="14"/>
                <w:color w:val="auto"/>
              </w:rPr>
              <w:t>14,589,562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291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2914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0" w:type="dxa"/>
            <w:vAlign w:val="bottom"/>
            <w:shd w:val="clear" w:color="auto" w:fill="0B4B73"/>
          </w:tcPr>
          <w:p>
            <w:pPr>
              <w:spacing w:after="0"/>
              <w:rPr>
                <w:sz w:val="18"/>
                <w:szCs w:val="18"/>
                <w:color w:val="auto"/>
              </w:rPr>
            </w:pPr>
          </w:p>
        </w:tc>
        <w:tc>
          <w:tcPr>
            <w:tcW w:w="60" w:type="dxa"/>
            <w:vAlign w:val="bottom"/>
            <w:shd w:val="clear" w:color="auto" w:fill="0B4B73"/>
          </w:tcPr>
          <w:p>
            <w:pPr>
              <w:spacing w:after="0"/>
              <w:rPr>
                <w:sz w:val="18"/>
                <w:szCs w:val="18"/>
                <w:color w:val="auto"/>
              </w:rPr>
            </w:pPr>
          </w:p>
        </w:tc>
        <w:tc>
          <w:tcPr>
            <w:tcW w:w="3320" w:type="dxa"/>
            <w:vAlign w:val="bottom"/>
            <w:shd w:val="clear" w:color="auto" w:fill="0B4B73"/>
          </w:tcPr>
          <w:p>
            <w:pPr>
              <w:spacing w:after="0"/>
              <w:rPr>
                <w:sz w:val="18"/>
                <w:szCs w:val="18"/>
                <w:color w:val="auto"/>
              </w:rPr>
            </w:pPr>
          </w:p>
        </w:tc>
        <w:tc>
          <w:tcPr>
            <w:tcW w:w="260" w:type="dxa"/>
            <w:vAlign w:val="bottom"/>
            <w:shd w:val="clear" w:color="auto" w:fill="0B4B73"/>
          </w:tcPr>
          <w:p>
            <w:pPr>
              <w:spacing w:after="0"/>
              <w:rPr>
                <w:sz w:val="18"/>
                <w:szCs w:val="18"/>
                <w:color w:val="auto"/>
              </w:rPr>
            </w:pPr>
          </w:p>
        </w:tc>
        <w:tc>
          <w:tcPr>
            <w:tcW w:w="280" w:type="dxa"/>
            <w:vAlign w:val="bottom"/>
            <w:shd w:val="clear" w:color="auto" w:fill="0B4B73"/>
          </w:tcPr>
          <w:p>
            <w:pPr>
              <w:spacing w:after="0"/>
              <w:rPr>
                <w:sz w:val="18"/>
                <w:szCs w:val="18"/>
                <w:color w:val="auto"/>
              </w:rPr>
            </w:pPr>
          </w:p>
        </w:tc>
        <w:tc>
          <w:tcPr>
            <w:tcW w:w="1020" w:type="dxa"/>
            <w:vAlign w:val="bottom"/>
            <w:shd w:val="clear" w:color="auto" w:fill="0B4B73"/>
          </w:tcPr>
          <w:p>
            <w:pPr>
              <w:spacing w:after="0"/>
              <w:rPr>
                <w:sz w:val="18"/>
                <w:szCs w:val="18"/>
                <w:color w:val="auto"/>
              </w:rPr>
            </w:pPr>
          </w:p>
        </w:tc>
        <w:tc>
          <w:tcPr>
            <w:tcW w:w="1140" w:type="dxa"/>
            <w:vAlign w:val="bottom"/>
            <w:gridSpan w:val="3"/>
            <w:shd w:val="clear" w:color="auto" w:fill="0B4B73"/>
          </w:tcPr>
          <w:p>
            <w:pPr>
              <w:jc w:val="right"/>
              <w:ind w:right="288"/>
              <w:spacing w:after="0"/>
              <w:rPr>
                <w:sz w:val="20"/>
                <w:szCs w:val="20"/>
                <w:color w:val="auto"/>
              </w:rPr>
            </w:pPr>
            <w:r>
              <w:rPr>
                <w:rFonts w:ascii="Arial" w:cs="Arial" w:eastAsia="Arial" w:hAnsi="Arial"/>
                <w:sz w:val="14"/>
                <w:szCs w:val="14"/>
                <w:b w:val="1"/>
                <w:bCs w:val="1"/>
                <w:color w:val="FFFFFF"/>
              </w:rPr>
              <w:t>Fiscal Year</w:t>
            </w:r>
          </w:p>
        </w:tc>
        <w:tc>
          <w:tcPr>
            <w:tcW w:w="1420" w:type="dxa"/>
            <w:vAlign w:val="bottom"/>
            <w:shd w:val="clear" w:color="auto" w:fill="0B4B7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Borders>
              <w:bottom w:val="single" w:sz="8" w:color="C3D041"/>
            </w:tcBorders>
            <w:shd w:val="clear" w:color="auto" w:fill="0B4B73"/>
          </w:tcPr>
          <w:p>
            <w:pPr>
              <w:spacing w:after="0"/>
              <w:rPr>
                <w:sz w:val="16"/>
                <w:szCs w:val="16"/>
                <w:color w:val="auto"/>
              </w:rPr>
            </w:pPr>
          </w:p>
        </w:tc>
        <w:tc>
          <w:tcPr>
            <w:tcW w:w="60" w:type="dxa"/>
            <w:vAlign w:val="bottom"/>
            <w:tcBorders>
              <w:bottom w:val="single" w:sz="8" w:color="C3D041"/>
            </w:tcBorders>
            <w:shd w:val="clear" w:color="auto" w:fill="0B4B73"/>
          </w:tcPr>
          <w:p>
            <w:pPr>
              <w:spacing w:after="0"/>
              <w:rPr>
                <w:sz w:val="16"/>
                <w:szCs w:val="16"/>
                <w:color w:val="auto"/>
              </w:rPr>
            </w:pPr>
          </w:p>
        </w:tc>
        <w:tc>
          <w:tcPr>
            <w:tcW w:w="3320" w:type="dxa"/>
            <w:vAlign w:val="bottom"/>
            <w:tcBorders>
              <w:bottom w:val="single" w:sz="8" w:color="C3D041"/>
            </w:tcBorders>
            <w:shd w:val="clear" w:color="auto" w:fill="0B4B73"/>
          </w:tcPr>
          <w:p>
            <w:pPr>
              <w:spacing w:after="0"/>
              <w:rPr>
                <w:sz w:val="16"/>
                <w:szCs w:val="16"/>
                <w:color w:val="auto"/>
              </w:rPr>
            </w:pPr>
          </w:p>
        </w:tc>
        <w:tc>
          <w:tcPr>
            <w:tcW w:w="260" w:type="dxa"/>
            <w:vAlign w:val="bottom"/>
            <w:tcBorders>
              <w:bottom w:val="single" w:sz="8" w:color="C3D041"/>
            </w:tcBorders>
            <w:shd w:val="clear" w:color="auto" w:fill="0B4B73"/>
          </w:tcPr>
          <w:p>
            <w:pPr>
              <w:spacing w:after="0"/>
              <w:rPr>
                <w:sz w:val="16"/>
                <w:szCs w:val="16"/>
                <w:color w:val="auto"/>
              </w:rPr>
            </w:pPr>
          </w:p>
        </w:tc>
        <w:tc>
          <w:tcPr>
            <w:tcW w:w="280" w:type="dxa"/>
            <w:vAlign w:val="bottom"/>
            <w:tcBorders>
              <w:bottom w:val="single" w:sz="8" w:color="C3D041"/>
            </w:tcBorders>
            <w:shd w:val="clear" w:color="auto" w:fill="0B4B73"/>
          </w:tcPr>
          <w:p>
            <w:pPr>
              <w:spacing w:after="0"/>
              <w:rPr>
                <w:sz w:val="16"/>
                <w:szCs w:val="16"/>
                <w:color w:val="auto"/>
              </w:rPr>
            </w:pPr>
          </w:p>
        </w:tc>
        <w:tc>
          <w:tcPr>
            <w:tcW w:w="1020" w:type="dxa"/>
            <w:vAlign w:val="bottom"/>
            <w:tcBorders>
              <w:bottom w:val="single" w:sz="8" w:color="C3D041"/>
            </w:tcBorders>
            <w:shd w:val="clear" w:color="auto" w:fill="0B4B73"/>
          </w:tcPr>
          <w:p>
            <w:pPr>
              <w:jc w:val="right"/>
              <w:ind w:right="448"/>
              <w:spacing w:after="0"/>
              <w:rPr>
                <w:sz w:val="20"/>
                <w:szCs w:val="20"/>
                <w:color w:val="auto"/>
              </w:rPr>
            </w:pPr>
            <w:r>
              <w:rPr>
                <w:rFonts w:ascii="Arial" w:cs="Arial" w:eastAsia="Arial" w:hAnsi="Arial"/>
                <w:sz w:val="14"/>
                <w:szCs w:val="14"/>
                <w:b w:val="1"/>
                <w:bCs w:val="1"/>
                <w:color w:val="FFFFFF"/>
              </w:rPr>
              <w:t>2025</w:t>
            </w:r>
          </w:p>
        </w:tc>
        <w:tc>
          <w:tcPr>
            <w:tcW w:w="400" w:type="dxa"/>
            <w:vAlign w:val="bottom"/>
            <w:tcBorders>
              <w:bottom w:val="single" w:sz="8" w:color="C3D041"/>
            </w:tcBorders>
            <w:shd w:val="clear" w:color="auto" w:fill="0B4B73"/>
          </w:tcPr>
          <w:p>
            <w:pPr>
              <w:spacing w:after="0"/>
              <w:rPr>
                <w:sz w:val="16"/>
                <w:szCs w:val="16"/>
                <w:color w:val="auto"/>
              </w:rPr>
            </w:pPr>
          </w:p>
        </w:tc>
        <w:tc>
          <w:tcPr>
            <w:tcW w:w="460" w:type="dxa"/>
            <w:vAlign w:val="bottom"/>
            <w:tcBorders>
              <w:bottom w:val="single" w:sz="8" w:color="C3D041"/>
            </w:tcBorders>
            <w:shd w:val="clear" w:color="auto" w:fill="0B4B73"/>
          </w:tcPr>
          <w:p>
            <w:pPr>
              <w:spacing w:after="0"/>
              <w:rPr>
                <w:sz w:val="16"/>
                <w:szCs w:val="16"/>
                <w:color w:val="auto"/>
              </w:rPr>
            </w:pPr>
          </w:p>
        </w:tc>
        <w:tc>
          <w:tcPr>
            <w:tcW w:w="280" w:type="dxa"/>
            <w:vAlign w:val="bottom"/>
            <w:tcBorders>
              <w:bottom w:val="single" w:sz="8" w:color="C3D041"/>
            </w:tcBorders>
            <w:shd w:val="clear" w:color="auto" w:fill="0B4B73"/>
          </w:tcPr>
          <w:p>
            <w:pPr>
              <w:spacing w:after="0"/>
              <w:rPr>
                <w:sz w:val="16"/>
                <w:szCs w:val="16"/>
                <w:color w:val="auto"/>
              </w:rPr>
            </w:pPr>
          </w:p>
        </w:tc>
        <w:tc>
          <w:tcPr>
            <w:tcW w:w="1420" w:type="dxa"/>
            <w:vAlign w:val="bottom"/>
            <w:tcBorders>
              <w:bottom w:val="single" w:sz="8" w:color="C3D041"/>
            </w:tcBorders>
            <w:shd w:val="clear" w:color="auto" w:fill="0B4B73"/>
          </w:tcPr>
          <w:p>
            <w:pPr>
              <w:jc w:val="right"/>
              <w:ind w:right="848"/>
              <w:spacing w:after="0"/>
              <w:rPr>
                <w:sz w:val="20"/>
                <w:szCs w:val="20"/>
                <w:color w:val="auto"/>
              </w:rPr>
            </w:pPr>
            <w:r>
              <w:rPr>
                <w:rFonts w:ascii="Arial" w:cs="Arial" w:eastAsia="Arial" w:hAnsi="Arial"/>
                <w:sz w:val="14"/>
                <w:szCs w:val="14"/>
                <w:b w:val="1"/>
                <w:bCs w:val="1"/>
                <w:color w:val="FFFFFF"/>
              </w:rPr>
              <w:t>2024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 w:type="dxa"/>
            <w:vAlign w:val="bottom"/>
            <w:gridSpan w:val="2"/>
            <w:shd w:val="clear" w:color="auto" w:fill="E4EDF1"/>
          </w:tcPr>
          <w:p>
            <w:pPr>
              <w:spacing w:after="0" w:line="153" w:lineRule="exact"/>
              <w:rPr>
                <w:sz w:val="20"/>
                <w:szCs w:val="20"/>
                <w:color w:val="auto"/>
              </w:rPr>
            </w:pPr>
            <w:r>
              <w:rPr>
                <w:rFonts w:ascii="Arial" w:cs="Arial" w:eastAsia="Arial" w:hAnsi="Arial"/>
                <w:sz w:val="14"/>
                <w:szCs w:val="14"/>
                <w:b w:val="1"/>
                <w:bCs w:val="1"/>
                <w:color w:val="auto"/>
                <w:w w:val="75"/>
              </w:rPr>
              <w:t>Average</w:t>
            </w:r>
          </w:p>
        </w:tc>
        <w:tc>
          <w:tcPr>
            <w:tcW w:w="3320" w:type="dxa"/>
            <w:vAlign w:val="bottom"/>
            <w:shd w:val="clear" w:color="auto" w:fill="E4EDF1"/>
          </w:tcPr>
          <w:p>
            <w:pPr>
              <w:ind w:left="140"/>
              <w:spacing w:after="0" w:line="153" w:lineRule="exact"/>
              <w:rPr>
                <w:sz w:val="20"/>
                <w:szCs w:val="20"/>
                <w:color w:val="auto"/>
              </w:rPr>
            </w:pPr>
            <w:r>
              <w:rPr>
                <w:rFonts w:ascii="Arial" w:cs="Arial" w:eastAsia="Arial" w:hAnsi="Arial"/>
                <w:sz w:val="14"/>
                <w:szCs w:val="14"/>
                <w:b w:val="1"/>
                <w:bCs w:val="1"/>
                <w:color w:val="auto"/>
              </w:rPr>
              <w:t>Summary Compensation Table Total for</w:t>
            </w:r>
          </w:p>
        </w:tc>
        <w:tc>
          <w:tcPr>
            <w:tcW w:w="2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020" w:type="dxa"/>
            <w:vAlign w:val="bottom"/>
            <w:shd w:val="clear" w:color="auto" w:fill="E4EDF1"/>
          </w:tcPr>
          <w:p>
            <w:pPr>
              <w:spacing w:after="0"/>
              <w:rPr>
                <w:sz w:val="13"/>
                <w:szCs w:val="13"/>
                <w:color w:val="auto"/>
              </w:rPr>
            </w:pPr>
          </w:p>
        </w:tc>
        <w:tc>
          <w:tcPr>
            <w:tcW w:w="400" w:type="dxa"/>
            <w:vAlign w:val="bottom"/>
            <w:shd w:val="clear" w:color="auto" w:fill="E4EDF1"/>
          </w:tcPr>
          <w:p>
            <w:pPr>
              <w:spacing w:after="0"/>
              <w:rPr>
                <w:sz w:val="13"/>
                <w:szCs w:val="13"/>
                <w:color w:val="auto"/>
              </w:rPr>
            </w:pPr>
          </w:p>
        </w:tc>
        <w:tc>
          <w:tcPr>
            <w:tcW w:w="4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420" w:type="dxa"/>
            <w:vAlign w:val="bottom"/>
            <w:shd w:val="clear" w:color="auto" w:fill="E4EDF1"/>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3"/>
            <w:shd w:val="clear" w:color="auto" w:fill="E4EDF1"/>
          </w:tcPr>
          <w:p>
            <w:pPr>
              <w:spacing w:after="0"/>
              <w:rPr>
                <w:sz w:val="20"/>
                <w:szCs w:val="20"/>
                <w:color w:val="auto"/>
              </w:rPr>
            </w:pPr>
            <w:r>
              <w:rPr>
                <w:rFonts w:ascii="Arial" w:cs="Arial" w:eastAsia="Arial" w:hAnsi="Arial"/>
                <w:sz w:val="14"/>
                <w:szCs w:val="14"/>
                <w:b w:val="1"/>
                <w:bCs w:val="1"/>
                <w:color w:val="auto"/>
              </w:rPr>
              <w:t>Non-PEO Named Executive Officers</w:t>
            </w:r>
          </w:p>
        </w:tc>
        <w:tc>
          <w:tcPr>
            <w:tcW w:w="540" w:type="dxa"/>
            <w:vAlign w:val="bottom"/>
            <w:gridSpan w:val="2"/>
            <w:shd w:val="clear" w:color="auto" w:fill="E4EDF1"/>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4,089,290</w:t>
            </w:r>
          </w:p>
        </w:tc>
        <w:tc>
          <w:tcPr>
            <w:tcW w:w="1140" w:type="dxa"/>
            <w:vAlign w:val="bottom"/>
            <w:gridSpan w:val="3"/>
            <w:shd w:val="clear" w:color="auto" w:fill="E4EDF1"/>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4EDF1"/>
          </w:tcPr>
          <w:p>
            <w:pPr>
              <w:jc w:val="right"/>
              <w:ind w:right="388"/>
              <w:spacing w:after="0"/>
              <w:rPr>
                <w:sz w:val="20"/>
                <w:szCs w:val="20"/>
                <w:color w:val="auto"/>
              </w:rPr>
            </w:pPr>
            <w:r>
              <w:rPr>
                <w:rFonts w:ascii="Arial" w:cs="Arial" w:eastAsia="Arial" w:hAnsi="Arial"/>
                <w:sz w:val="14"/>
                <w:szCs w:val="14"/>
                <w:color w:val="auto"/>
              </w:rPr>
              <w:t>3,240,922</w:t>
            </w:r>
          </w:p>
        </w:tc>
        <w:tc>
          <w:tcPr>
            <w:tcW w:w="0" w:type="dxa"/>
            <w:vAlign w:val="bottom"/>
          </w:tcPr>
          <w:p>
            <w:pPr>
              <w:spacing w:after="0"/>
              <w:rPr>
                <w:sz w:val="1"/>
                <w:szCs w:val="1"/>
                <w:color w:val="auto"/>
              </w:rPr>
            </w:pPr>
          </w:p>
        </w:tc>
      </w:tr>
      <w:tr>
        <w:trPr>
          <w:trHeight w:val="167"/>
        </w:trPr>
        <w:tc>
          <w:tcPr>
            <w:tcW w:w="400" w:type="dxa"/>
            <w:vAlign w:val="bottom"/>
            <w:gridSpan w:val="2"/>
          </w:tcPr>
          <w:p>
            <w:pPr>
              <w:jc w:val="center"/>
              <w:spacing w:after="0"/>
              <w:rPr>
                <w:sz w:val="20"/>
                <w:szCs w:val="20"/>
                <w:color w:val="auto"/>
              </w:rPr>
            </w:pPr>
            <w:r>
              <w:rPr>
                <w:rFonts w:ascii="Arial" w:cs="Arial" w:eastAsia="Arial" w:hAnsi="Arial"/>
                <w:sz w:val="14"/>
                <w:szCs w:val="14"/>
                <w:color w:val="auto"/>
              </w:rPr>
              <w:t>( - )</w:t>
            </w:r>
          </w:p>
        </w:tc>
        <w:tc>
          <w:tcPr>
            <w:tcW w:w="3380" w:type="dxa"/>
            <w:vAlign w:val="bottom"/>
            <w:gridSpan w:val="2"/>
          </w:tcPr>
          <w:p>
            <w:pPr>
              <w:ind w:left="60"/>
              <w:spacing w:after="0"/>
              <w:rPr>
                <w:sz w:val="20"/>
                <w:szCs w:val="20"/>
                <w:color w:val="auto"/>
              </w:rPr>
            </w:pPr>
            <w:r>
              <w:rPr>
                <w:rFonts w:ascii="Arial" w:cs="Arial" w:eastAsia="Arial" w:hAnsi="Arial"/>
                <w:sz w:val="14"/>
                <w:szCs w:val="14"/>
                <w:color w:val="auto"/>
              </w:rPr>
              <w:t>Grant Date Fair Value of Stock Options Granted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(2,156,328)</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vMerge w:val="restart"/>
          </w:tcPr>
          <w:p>
            <w:pPr>
              <w:jc w:val="right"/>
              <w:ind w:right="328"/>
              <w:spacing w:after="0"/>
              <w:rPr>
                <w:sz w:val="20"/>
                <w:szCs w:val="20"/>
                <w:color w:val="auto"/>
              </w:rPr>
            </w:pPr>
            <w:r>
              <w:rPr>
                <w:rFonts w:ascii="Arial" w:cs="Arial" w:eastAsia="Arial" w:hAnsi="Arial"/>
                <w:sz w:val="14"/>
                <w:szCs w:val="14"/>
                <w:color w:val="auto"/>
              </w:rPr>
              <w:t>(1,418,950)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in the Fiscal Year</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shd w:val="clear" w:color="auto" w:fill="E4EDF1"/>
          </w:tcPr>
          <w:p>
            <w:pPr>
              <w:spacing w:after="0"/>
              <w:rPr>
                <w:sz w:val="13"/>
                <w:szCs w:val="13"/>
                <w:color w:val="auto"/>
              </w:rPr>
            </w:pPr>
          </w:p>
        </w:tc>
        <w:tc>
          <w:tcPr>
            <w:tcW w:w="3380" w:type="dxa"/>
            <w:vAlign w:val="bottom"/>
            <w:gridSpan w:val="2"/>
            <w:shd w:val="clear" w:color="auto" w:fill="E4EDF1"/>
          </w:tcPr>
          <w:p>
            <w:pPr>
              <w:ind w:left="60"/>
              <w:spacing w:after="0" w:line="153" w:lineRule="exact"/>
              <w:rPr>
                <w:sz w:val="20"/>
                <w:szCs w:val="20"/>
                <w:color w:val="auto"/>
              </w:rPr>
            </w:pPr>
            <w:r>
              <w:rPr>
                <w:rFonts w:ascii="Arial" w:cs="Arial" w:eastAsia="Arial" w:hAnsi="Arial"/>
                <w:sz w:val="14"/>
                <w:szCs w:val="14"/>
                <w:color w:val="auto"/>
              </w:rPr>
              <w:t>Fair Value at Fiscal Year End of Outstanding</w:t>
            </w:r>
          </w:p>
        </w:tc>
        <w:tc>
          <w:tcPr>
            <w:tcW w:w="2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020" w:type="dxa"/>
            <w:vAlign w:val="bottom"/>
            <w:shd w:val="clear" w:color="auto" w:fill="E4EDF1"/>
          </w:tcPr>
          <w:p>
            <w:pPr>
              <w:spacing w:after="0"/>
              <w:rPr>
                <w:sz w:val="13"/>
                <w:szCs w:val="13"/>
                <w:color w:val="auto"/>
              </w:rPr>
            </w:pPr>
          </w:p>
        </w:tc>
        <w:tc>
          <w:tcPr>
            <w:tcW w:w="400" w:type="dxa"/>
            <w:vAlign w:val="bottom"/>
            <w:shd w:val="clear" w:color="auto" w:fill="E4EDF1"/>
          </w:tcPr>
          <w:p>
            <w:pPr>
              <w:spacing w:after="0"/>
              <w:rPr>
                <w:sz w:val="13"/>
                <w:szCs w:val="13"/>
                <w:color w:val="auto"/>
              </w:rPr>
            </w:pPr>
          </w:p>
        </w:tc>
        <w:tc>
          <w:tcPr>
            <w:tcW w:w="4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420" w:type="dxa"/>
            <w:vAlign w:val="bottom"/>
            <w:shd w:val="clear" w:color="auto" w:fill="E4EDF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shd w:val="clear" w:color="auto" w:fill="E4EDF1"/>
          </w:tcPr>
          <w:p>
            <w:pPr>
              <w:jc w:val="center"/>
              <w:spacing w:after="0"/>
              <w:rPr>
                <w:sz w:val="20"/>
                <w:szCs w:val="20"/>
                <w:color w:val="auto"/>
              </w:rPr>
            </w:pPr>
            <w:r>
              <w:rPr>
                <w:rFonts w:ascii="Arial" w:cs="Arial" w:eastAsia="Arial" w:hAnsi="Arial"/>
                <w:sz w:val="14"/>
                <w:szCs w:val="14"/>
                <w:color w:val="auto"/>
              </w:rPr>
              <w:t>( + )</w:t>
            </w:r>
          </w:p>
        </w:tc>
        <w:tc>
          <w:tcPr>
            <w:tcW w:w="3380" w:type="dxa"/>
            <w:vAlign w:val="bottom"/>
            <w:gridSpan w:val="2"/>
            <w:shd w:val="clear" w:color="auto" w:fill="E4EDF1"/>
          </w:tcPr>
          <w:p>
            <w:pPr>
              <w:ind w:left="60"/>
              <w:spacing w:after="0"/>
              <w:rPr>
                <w:sz w:val="20"/>
                <w:szCs w:val="20"/>
                <w:color w:val="auto"/>
              </w:rPr>
            </w:pPr>
            <w:r>
              <w:rPr>
                <w:rFonts w:ascii="Arial" w:cs="Arial" w:eastAsia="Arial" w:hAnsi="Arial"/>
                <w:sz w:val="14"/>
                <w:szCs w:val="14"/>
                <w:color w:val="auto"/>
              </w:rPr>
              <w:t>and Unvested Stock Options Granted in the</w:t>
            </w:r>
          </w:p>
        </w:tc>
        <w:tc>
          <w:tcPr>
            <w:tcW w:w="2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020" w:type="dxa"/>
            <w:vAlign w:val="bottom"/>
            <w:shd w:val="clear" w:color="auto" w:fill="E4EDF1"/>
          </w:tcPr>
          <w:p>
            <w:pPr>
              <w:spacing w:after="0"/>
              <w:rPr>
                <w:sz w:val="14"/>
                <w:szCs w:val="14"/>
                <w:color w:val="auto"/>
              </w:rPr>
            </w:pPr>
          </w:p>
        </w:tc>
        <w:tc>
          <w:tcPr>
            <w:tcW w:w="400" w:type="dxa"/>
            <w:vAlign w:val="bottom"/>
            <w:shd w:val="clear" w:color="auto" w:fill="E4EDF1"/>
          </w:tcPr>
          <w:p>
            <w:pPr>
              <w:spacing w:after="0"/>
              <w:rPr>
                <w:sz w:val="14"/>
                <w:szCs w:val="14"/>
                <w:color w:val="auto"/>
              </w:rPr>
            </w:pPr>
          </w:p>
        </w:tc>
        <w:tc>
          <w:tcPr>
            <w:tcW w:w="4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420" w:type="dxa"/>
            <w:vAlign w:val="bottom"/>
            <w:shd w:val="clear" w:color="auto" w:fill="E4EDF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shd w:val="clear" w:color="auto" w:fill="E4EDF1"/>
          </w:tcPr>
          <w:p>
            <w:pPr>
              <w:spacing w:after="0"/>
              <w:rPr>
                <w:sz w:val="14"/>
                <w:szCs w:val="14"/>
                <w:color w:val="auto"/>
              </w:rPr>
            </w:pPr>
          </w:p>
        </w:tc>
        <w:tc>
          <w:tcPr>
            <w:tcW w:w="3380" w:type="dxa"/>
            <w:vAlign w:val="bottom"/>
            <w:gridSpan w:val="2"/>
            <w:shd w:val="clear" w:color="auto" w:fill="E4EDF1"/>
          </w:tcPr>
          <w:p>
            <w:pPr>
              <w:ind w:left="60"/>
              <w:spacing w:after="0"/>
              <w:rPr>
                <w:sz w:val="20"/>
                <w:szCs w:val="20"/>
                <w:color w:val="auto"/>
              </w:rPr>
            </w:pPr>
            <w:r>
              <w:rPr>
                <w:rFonts w:ascii="Arial" w:cs="Arial" w:eastAsia="Arial" w:hAnsi="Arial"/>
                <w:sz w:val="14"/>
                <w:szCs w:val="14"/>
                <w:color w:val="auto"/>
              </w:rPr>
              <w:t>Fiscal Year</w:t>
            </w:r>
          </w:p>
        </w:tc>
        <w:tc>
          <w:tcPr>
            <w:tcW w:w="2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1,666,639</w:t>
            </w:r>
          </w:p>
        </w:tc>
        <w:tc>
          <w:tcPr>
            <w:tcW w:w="400" w:type="dxa"/>
            <w:vAlign w:val="bottom"/>
            <w:shd w:val="clear" w:color="auto" w:fill="E4EDF1"/>
          </w:tcPr>
          <w:p>
            <w:pPr>
              <w:spacing w:after="0"/>
              <w:rPr>
                <w:sz w:val="14"/>
                <w:szCs w:val="14"/>
                <w:color w:val="auto"/>
              </w:rPr>
            </w:pPr>
          </w:p>
        </w:tc>
        <w:tc>
          <w:tcPr>
            <w:tcW w:w="4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420" w:type="dxa"/>
            <w:vAlign w:val="bottom"/>
            <w:shd w:val="clear" w:color="auto" w:fill="E4EDF1"/>
          </w:tcPr>
          <w:p>
            <w:pPr>
              <w:jc w:val="right"/>
              <w:ind w:right="388"/>
              <w:spacing w:after="0"/>
              <w:rPr>
                <w:sz w:val="20"/>
                <w:szCs w:val="20"/>
                <w:color w:val="auto"/>
              </w:rPr>
            </w:pPr>
            <w:r>
              <w:rPr>
                <w:rFonts w:ascii="Arial" w:cs="Arial" w:eastAsia="Arial" w:hAnsi="Arial"/>
                <w:sz w:val="14"/>
                <w:szCs w:val="14"/>
                <w:color w:val="auto"/>
              </w:rPr>
              <w:t>2,825,015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gridSpan w:val="2"/>
          </w:tcPr>
          <w:p>
            <w:pPr>
              <w:ind w:left="60"/>
              <w:spacing w:after="0" w:line="153" w:lineRule="exact"/>
              <w:rPr>
                <w:sz w:val="20"/>
                <w:szCs w:val="20"/>
                <w:color w:val="auto"/>
              </w:rPr>
            </w:pPr>
            <w:r>
              <w:rPr>
                <w:rFonts w:ascii="Arial" w:cs="Arial" w:eastAsia="Arial" w:hAnsi="Arial"/>
                <w:sz w:val="14"/>
                <w:szCs w:val="14"/>
                <w:color w:val="auto"/>
              </w:rPr>
              <w:t>Change in Fair Value at Fiscal Year End of</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 w:type="dxa"/>
            <w:vAlign w:val="bottom"/>
            <w:gridSpan w:val="2"/>
          </w:tcPr>
          <w:p>
            <w:pPr>
              <w:jc w:val="center"/>
              <w:spacing w:after="0"/>
              <w:rPr>
                <w:sz w:val="20"/>
                <w:szCs w:val="20"/>
                <w:color w:val="auto"/>
              </w:rPr>
            </w:pPr>
            <w:r>
              <w:rPr>
                <w:rFonts w:ascii="Arial" w:cs="Arial" w:eastAsia="Arial" w:hAnsi="Arial"/>
                <w:sz w:val="14"/>
                <w:szCs w:val="14"/>
                <w:color w:val="auto"/>
              </w:rPr>
              <w:t>( + )</w:t>
            </w:r>
          </w:p>
        </w:tc>
        <w:tc>
          <w:tcPr>
            <w:tcW w:w="3380" w:type="dxa"/>
            <w:vAlign w:val="bottom"/>
            <w:gridSpan w:val="2"/>
          </w:tcPr>
          <w:p>
            <w:pPr>
              <w:ind w:left="60"/>
              <w:spacing w:after="0"/>
              <w:rPr>
                <w:sz w:val="20"/>
                <w:szCs w:val="20"/>
                <w:color w:val="auto"/>
              </w:rPr>
            </w:pPr>
            <w:r>
              <w:rPr>
                <w:rFonts w:ascii="Arial" w:cs="Arial" w:eastAsia="Arial" w:hAnsi="Arial"/>
                <w:sz w:val="14"/>
                <w:szCs w:val="14"/>
                <w:color w:val="auto"/>
              </w:rPr>
              <w:t>Outstanding and Unvested Stock Options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gridSpan w:val="2"/>
          </w:tcPr>
          <w:p>
            <w:pPr>
              <w:ind w:left="60"/>
              <w:spacing w:after="0"/>
              <w:rPr>
                <w:sz w:val="20"/>
                <w:szCs w:val="20"/>
                <w:color w:val="auto"/>
              </w:rPr>
            </w:pPr>
            <w:r>
              <w:rPr>
                <w:rFonts w:ascii="Arial" w:cs="Arial" w:eastAsia="Arial" w:hAnsi="Arial"/>
                <w:sz w:val="14"/>
                <w:szCs w:val="14"/>
                <w:color w:val="auto"/>
              </w:rPr>
              <w:t>Granted in Prior Fiscal Years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50,921</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603,669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vMerge w:val="restart"/>
            <w:shd w:val="clear" w:color="auto" w:fill="E4EDF1"/>
          </w:tcPr>
          <w:p>
            <w:pPr>
              <w:jc w:val="center"/>
              <w:spacing w:after="0"/>
              <w:rPr>
                <w:sz w:val="20"/>
                <w:szCs w:val="20"/>
                <w:color w:val="auto"/>
              </w:rPr>
            </w:pPr>
            <w:r>
              <w:rPr>
                <w:rFonts w:ascii="Arial" w:cs="Arial" w:eastAsia="Arial" w:hAnsi="Arial"/>
                <w:sz w:val="14"/>
                <w:szCs w:val="14"/>
                <w:color w:val="auto"/>
              </w:rPr>
              <w:t>( + )</w:t>
            </w:r>
          </w:p>
        </w:tc>
        <w:tc>
          <w:tcPr>
            <w:tcW w:w="3380" w:type="dxa"/>
            <w:vAlign w:val="bottom"/>
            <w:gridSpan w:val="2"/>
            <w:shd w:val="clear" w:color="auto" w:fill="E4EDF1"/>
          </w:tcPr>
          <w:p>
            <w:pPr>
              <w:ind w:left="60"/>
              <w:spacing w:after="0" w:line="153" w:lineRule="exact"/>
              <w:rPr>
                <w:sz w:val="20"/>
                <w:szCs w:val="20"/>
                <w:color w:val="auto"/>
              </w:rPr>
            </w:pPr>
            <w:r>
              <w:rPr>
                <w:rFonts w:ascii="Arial" w:cs="Arial" w:eastAsia="Arial" w:hAnsi="Arial"/>
                <w:sz w:val="14"/>
                <w:szCs w:val="14"/>
                <w:color w:val="auto"/>
              </w:rPr>
              <w:t>Fair Value at Vesting of Stock Options Granted</w:t>
            </w:r>
          </w:p>
        </w:tc>
        <w:tc>
          <w:tcPr>
            <w:tcW w:w="2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020" w:type="dxa"/>
            <w:vAlign w:val="bottom"/>
            <w:shd w:val="clear" w:color="auto" w:fill="E4EDF1"/>
          </w:tcPr>
          <w:p>
            <w:pPr>
              <w:spacing w:after="0"/>
              <w:rPr>
                <w:sz w:val="13"/>
                <w:szCs w:val="13"/>
                <w:color w:val="auto"/>
              </w:rPr>
            </w:pPr>
          </w:p>
        </w:tc>
        <w:tc>
          <w:tcPr>
            <w:tcW w:w="400" w:type="dxa"/>
            <w:vAlign w:val="bottom"/>
            <w:shd w:val="clear" w:color="auto" w:fill="E4EDF1"/>
          </w:tcPr>
          <w:p>
            <w:pPr>
              <w:spacing w:after="0"/>
              <w:rPr>
                <w:sz w:val="13"/>
                <w:szCs w:val="13"/>
                <w:color w:val="auto"/>
              </w:rPr>
            </w:pPr>
          </w:p>
        </w:tc>
        <w:tc>
          <w:tcPr>
            <w:tcW w:w="460" w:type="dxa"/>
            <w:vAlign w:val="bottom"/>
            <w:shd w:val="clear" w:color="auto" w:fill="E4EDF1"/>
          </w:tcPr>
          <w:p>
            <w:pPr>
              <w:spacing w:after="0"/>
              <w:rPr>
                <w:sz w:val="13"/>
                <w:szCs w:val="13"/>
                <w:color w:val="auto"/>
              </w:rPr>
            </w:pPr>
          </w:p>
        </w:tc>
        <w:tc>
          <w:tcPr>
            <w:tcW w:w="280" w:type="dxa"/>
            <w:vAlign w:val="bottom"/>
            <w:shd w:val="clear" w:color="auto" w:fill="E4EDF1"/>
          </w:tcPr>
          <w:p>
            <w:pPr>
              <w:spacing w:after="0"/>
              <w:rPr>
                <w:sz w:val="13"/>
                <w:szCs w:val="13"/>
                <w:color w:val="auto"/>
              </w:rPr>
            </w:pPr>
          </w:p>
        </w:tc>
        <w:tc>
          <w:tcPr>
            <w:tcW w:w="1420" w:type="dxa"/>
            <w:vAlign w:val="bottom"/>
            <w:shd w:val="clear" w:color="auto" w:fill="E4EDF1"/>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vMerge w:val="continue"/>
            <w:shd w:val="clear" w:color="auto" w:fill="E4EDF1"/>
          </w:tcPr>
          <w:p>
            <w:pPr>
              <w:spacing w:after="0"/>
              <w:rPr>
                <w:sz w:val="14"/>
                <w:szCs w:val="14"/>
                <w:color w:val="auto"/>
              </w:rPr>
            </w:pPr>
          </w:p>
        </w:tc>
        <w:tc>
          <w:tcPr>
            <w:tcW w:w="3380" w:type="dxa"/>
            <w:vAlign w:val="bottom"/>
            <w:gridSpan w:val="2"/>
            <w:shd w:val="clear" w:color="auto" w:fill="E4EDF1"/>
          </w:tcPr>
          <w:p>
            <w:pPr>
              <w:ind w:left="60"/>
              <w:spacing w:after="0"/>
              <w:rPr>
                <w:sz w:val="20"/>
                <w:szCs w:val="20"/>
                <w:color w:val="auto"/>
              </w:rPr>
            </w:pPr>
            <w:r>
              <w:rPr>
                <w:rFonts w:ascii="Arial" w:cs="Arial" w:eastAsia="Arial" w:hAnsi="Arial"/>
                <w:sz w:val="14"/>
                <w:szCs w:val="14"/>
                <w:color w:val="auto"/>
              </w:rPr>
              <w:t>and Vested in the Fiscal Year</w:t>
            </w:r>
          </w:p>
        </w:tc>
        <w:tc>
          <w:tcPr>
            <w:tcW w:w="2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535,908</w:t>
            </w:r>
          </w:p>
        </w:tc>
        <w:tc>
          <w:tcPr>
            <w:tcW w:w="400" w:type="dxa"/>
            <w:vAlign w:val="bottom"/>
            <w:shd w:val="clear" w:color="auto" w:fill="E4EDF1"/>
          </w:tcPr>
          <w:p>
            <w:pPr>
              <w:spacing w:after="0"/>
              <w:rPr>
                <w:sz w:val="14"/>
                <w:szCs w:val="14"/>
                <w:color w:val="auto"/>
              </w:rPr>
            </w:pPr>
          </w:p>
        </w:tc>
        <w:tc>
          <w:tcPr>
            <w:tcW w:w="460" w:type="dxa"/>
            <w:vAlign w:val="bottom"/>
            <w:shd w:val="clear" w:color="auto" w:fill="E4EDF1"/>
          </w:tcPr>
          <w:p>
            <w:pPr>
              <w:spacing w:after="0"/>
              <w:rPr>
                <w:sz w:val="14"/>
                <w:szCs w:val="14"/>
                <w:color w:val="auto"/>
              </w:rPr>
            </w:pPr>
          </w:p>
        </w:tc>
        <w:tc>
          <w:tcPr>
            <w:tcW w:w="280" w:type="dxa"/>
            <w:vAlign w:val="bottom"/>
            <w:shd w:val="clear" w:color="auto" w:fill="E4EDF1"/>
          </w:tcPr>
          <w:p>
            <w:pPr>
              <w:spacing w:after="0"/>
              <w:rPr>
                <w:sz w:val="14"/>
                <w:szCs w:val="14"/>
                <w:color w:val="auto"/>
              </w:rPr>
            </w:pPr>
          </w:p>
        </w:tc>
        <w:tc>
          <w:tcPr>
            <w:tcW w:w="1420" w:type="dxa"/>
            <w:vAlign w:val="bottom"/>
            <w:shd w:val="clear" w:color="auto" w:fill="E4EDF1"/>
          </w:tcPr>
          <w:p>
            <w:pPr>
              <w:jc w:val="right"/>
              <w:ind w:right="3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gridSpan w:val="2"/>
          </w:tcPr>
          <w:p>
            <w:pPr>
              <w:ind w:left="60"/>
              <w:spacing w:after="0" w:line="153" w:lineRule="exact"/>
              <w:rPr>
                <w:sz w:val="20"/>
                <w:szCs w:val="20"/>
                <w:color w:val="auto"/>
              </w:rPr>
            </w:pPr>
            <w:r>
              <w:rPr>
                <w:rFonts w:ascii="Arial" w:cs="Arial" w:eastAsia="Arial" w:hAnsi="Arial"/>
                <w:sz w:val="14"/>
                <w:szCs w:val="14"/>
                <w:color w:val="auto"/>
              </w:rPr>
              <w:t>Change in Fair Value as of the Vesting Date of</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 w:type="dxa"/>
            <w:vAlign w:val="bottom"/>
            <w:gridSpan w:val="2"/>
          </w:tcPr>
          <w:p>
            <w:pPr>
              <w:jc w:val="center"/>
              <w:spacing w:after="0"/>
              <w:rPr>
                <w:sz w:val="20"/>
                <w:szCs w:val="20"/>
                <w:color w:val="auto"/>
              </w:rPr>
            </w:pPr>
            <w:r>
              <w:rPr>
                <w:rFonts w:ascii="Arial" w:cs="Arial" w:eastAsia="Arial" w:hAnsi="Arial"/>
                <w:sz w:val="14"/>
                <w:szCs w:val="14"/>
                <w:color w:val="auto"/>
              </w:rPr>
              <w:t>( + )</w:t>
            </w:r>
          </w:p>
        </w:tc>
        <w:tc>
          <w:tcPr>
            <w:tcW w:w="3380" w:type="dxa"/>
            <w:vAlign w:val="bottom"/>
            <w:gridSpan w:val="2"/>
          </w:tcPr>
          <w:p>
            <w:pPr>
              <w:ind w:left="60"/>
              <w:spacing w:after="0"/>
              <w:rPr>
                <w:sz w:val="20"/>
                <w:szCs w:val="20"/>
                <w:color w:val="auto"/>
              </w:rPr>
            </w:pPr>
            <w:r>
              <w:rPr>
                <w:rFonts w:ascii="Arial" w:cs="Arial" w:eastAsia="Arial" w:hAnsi="Arial"/>
                <w:sz w:val="14"/>
                <w:szCs w:val="14"/>
                <w:color w:val="auto"/>
              </w:rPr>
              <w:t>Stock Options Granted in Prior Fiscal Years that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92,148</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vMerge w:val="restart"/>
          </w:tcPr>
          <w:p>
            <w:pPr>
              <w:jc w:val="right"/>
              <w:ind w:right="388"/>
              <w:spacing w:after="0"/>
              <w:rPr>
                <w:sz w:val="20"/>
                <w:szCs w:val="20"/>
                <w:color w:val="auto"/>
              </w:rPr>
            </w:pPr>
            <w:r>
              <w:rPr>
                <w:rFonts w:ascii="Arial" w:cs="Arial" w:eastAsia="Arial" w:hAnsi="Arial"/>
                <w:sz w:val="14"/>
                <w:szCs w:val="14"/>
                <w:color w:val="auto"/>
              </w:rPr>
              <w:t>359,387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Vested in the Fiscal Year</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60" w:type="dxa"/>
            <w:vAlign w:val="bottom"/>
            <w:gridSpan w:val="3"/>
            <w:shd w:val="clear" w:color="auto" w:fill="E4EDF1"/>
          </w:tcPr>
          <w:p>
            <w:pPr>
              <w:spacing w:after="0" w:line="147" w:lineRule="exact"/>
              <w:rPr>
                <w:sz w:val="20"/>
                <w:szCs w:val="20"/>
                <w:color w:val="auto"/>
              </w:rPr>
            </w:pPr>
            <w:r>
              <w:rPr>
                <w:rFonts w:ascii="Arial" w:cs="Arial" w:eastAsia="Arial" w:hAnsi="Arial"/>
                <w:sz w:val="14"/>
                <w:szCs w:val="14"/>
                <w:b w:val="1"/>
                <w:bCs w:val="1"/>
                <w:color w:val="auto"/>
              </w:rPr>
              <w:t>Average Compensation Actually Paid to Non-PEO</w:t>
            </w:r>
          </w:p>
        </w:tc>
        <w:tc>
          <w:tcPr>
            <w:tcW w:w="260" w:type="dxa"/>
            <w:vAlign w:val="bottom"/>
            <w:shd w:val="clear" w:color="auto" w:fill="E4EDF1"/>
          </w:tcPr>
          <w:p>
            <w:pPr>
              <w:spacing w:after="0"/>
              <w:rPr>
                <w:sz w:val="12"/>
                <w:szCs w:val="12"/>
                <w:color w:val="auto"/>
              </w:rPr>
            </w:pPr>
          </w:p>
        </w:tc>
        <w:tc>
          <w:tcPr>
            <w:tcW w:w="280" w:type="dxa"/>
            <w:vAlign w:val="bottom"/>
            <w:vMerge w:val="restart"/>
            <w:shd w:val="clear" w:color="auto" w:fill="E4EDF1"/>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E4EDF1"/>
          </w:tcPr>
          <w:p>
            <w:pPr>
              <w:jc w:val="right"/>
              <w:spacing w:after="0"/>
              <w:rPr>
                <w:sz w:val="20"/>
                <w:szCs w:val="20"/>
                <w:color w:val="auto"/>
              </w:rPr>
            </w:pPr>
            <w:r>
              <w:rPr>
                <w:rFonts w:ascii="Arial" w:cs="Arial" w:eastAsia="Arial" w:hAnsi="Arial"/>
                <w:sz w:val="14"/>
                <w:szCs w:val="14"/>
                <w:color w:val="auto"/>
              </w:rPr>
              <w:t>4,278,578</w:t>
            </w:r>
          </w:p>
        </w:tc>
        <w:tc>
          <w:tcPr>
            <w:tcW w:w="400" w:type="dxa"/>
            <w:vAlign w:val="bottom"/>
            <w:shd w:val="clear" w:color="auto" w:fill="E4EDF1"/>
          </w:tcPr>
          <w:p>
            <w:pPr>
              <w:spacing w:after="0"/>
              <w:rPr>
                <w:sz w:val="12"/>
                <w:szCs w:val="12"/>
                <w:color w:val="auto"/>
              </w:rPr>
            </w:pPr>
          </w:p>
        </w:tc>
        <w:tc>
          <w:tcPr>
            <w:tcW w:w="460" w:type="dxa"/>
            <w:vAlign w:val="bottom"/>
            <w:shd w:val="clear" w:color="auto" w:fill="E4EDF1"/>
          </w:tcPr>
          <w:p>
            <w:pPr>
              <w:spacing w:after="0"/>
              <w:rPr>
                <w:sz w:val="12"/>
                <w:szCs w:val="12"/>
                <w:color w:val="auto"/>
              </w:rPr>
            </w:pPr>
          </w:p>
        </w:tc>
        <w:tc>
          <w:tcPr>
            <w:tcW w:w="280" w:type="dxa"/>
            <w:vAlign w:val="bottom"/>
            <w:vMerge w:val="restart"/>
            <w:shd w:val="clear" w:color="auto" w:fill="E4EDF1"/>
          </w:tcPr>
          <w:p>
            <w:pPr>
              <w:jc w:val="right"/>
              <w:ind w:right="128"/>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E4EDF1"/>
          </w:tcPr>
          <w:p>
            <w:pPr>
              <w:jc w:val="right"/>
              <w:ind w:right="388"/>
              <w:spacing w:after="0"/>
              <w:rPr>
                <w:sz w:val="20"/>
                <w:szCs w:val="20"/>
                <w:color w:val="auto"/>
              </w:rPr>
            </w:pPr>
            <w:r>
              <w:rPr>
                <w:rFonts w:ascii="Arial" w:cs="Arial" w:eastAsia="Arial" w:hAnsi="Arial"/>
                <w:sz w:val="14"/>
                <w:szCs w:val="14"/>
                <w:color w:val="auto"/>
              </w:rPr>
              <w:t>5,610,043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E4EDF1"/>
            </w:tcBorders>
            <w:gridSpan w:val="3"/>
            <w:shd w:val="clear" w:color="auto" w:fill="E4EDF1"/>
          </w:tcPr>
          <w:p>
            <w:pPr>
              <w:spacing w:after="0" w:line="125" w:lineRule="exact"/>
              <w:rPr>
                <w:sz w:val="20"/>
                <w:szCs w:val="20"/>
                <w:color w:val="auto"/>
              </w:rPr>
            </w:pPr>
            <w:r>
              <w:rPr>
                <w:rFonts w:ascii="Arial" w:cs="Arial" w:eastAsia="Arial" w:hAnsi="Arial"/>
                <w:sz w:val="14"/>
                <w:szCs w:val="14"/>
                <w:b w:val="1"/>
                <w:bCs w:val="1"/>
                <w:color w:val="auto"/>
              </w:rPr>
              <w:t>Named Executive Officers</w:t>
            </w:r>
          </w:p>
        </w:tc>
        <w:tc>
          <w:tcPr>
            <w:tcW w:w="260" w:type="dxa"/>
            <w:vAlign w:val="bottom"/>
            <w:tcBorders>
              <w:bottom w:val="single" w:sz="8" w:color="E4EDF1"/>
            </w:tcBorders>
            <w:shd w:val="clear" w:color="auto" w:fill="E4EDF1"/>
          </w:tcPr>
          <w:p>
            <w:pPr>
              <w:spacing w:after="0"/>
              <w:rPr>
                <w:sz w:val="14"/>
                <w:szCs w:val="14"/>
                <w:color w:val="auto"/>
              </w:rPr>
            </w:pPr>
          </w:p>
        </w:tc>
        <w:tc>
          <w:tcPr>
            <w:tcW w:w="280" w:type="dxa"/>
            <w:vAlign w:val="bottom"/>
            <w:tcBorders>
              <w:bottom w:val="single" w:sz="8" w:color="auto"/>
            </w:tcBorders>
            <w:vMerge w:val="continue"/>
            <w:shd w:val="clear" w:color="auto" w:fill="E4EDF1"/>
          </w:tcPr>
          <w:p>
            <w:pPr>
              <w:spacing w:after="0"/>
              <w:rPr>
                <w:sz w:val="14"/>
                <w:szCs w:val="14"/>
                <w:color w:val="auto"/>
              </w:rPr>
            </w:pPr>
          </w:p>
        </w:tc>
        <w:tc>
          <w:tcPr>
            <w:tcW w:w="1020" w:type="dxa"/>
            <w:vAlign w:val="bottom"/>
            <w:tcBorders>
              <w:bottom w:val="single" w:sz="8" w:color="auto"/>
            </w:tcBorders>
            <w:vMerge w:val="continue"/>
            <w:shd w:val="clear" w:color="auto" w:fill="E4EDF1"/>
          </w:tcPr>
          <w:p>
            <w:pPr>
              <w:spacing w:after="0"/>
              <w:rPr>
                <w:sz w:val="14"/>
                <w:szCs w:val="14"/>
                <w:color w:val="auto"/>
              </w:rPr>
            </w:pPr>
          </w:p>
        </w:tc>
        <w:tc>
          <w:tcPr>
            <w:tcW w:w="400" w:type="dxa"/>
            <w:vAlign w:val="bottom"/>
            <w:tcBorders>
              <w:bottom w:val="single" w:sz="8" w:color="auto"/>
            </w:tcBorders>
            <w:shd w:val="clear" w:color="auto" w:fill="E4EDF1"/>
          </w:tcPr>
          <w:p>
            <w:pPr>
              <w:spacing w:after="0"/>
              <w:rPr>
                <w:sz w:val="14"/>
                <w:szCs w:val="14"/>
                <w:color w:val="auto"/>
              </w:rPr>
            </w:pPr>
          </w:p>
        </w:tc>
        <w:tc>
          <w:tcPr>
            <w:tcW w:w="460" w:type="dxa"/>
            <w:vAlign w:val="bottom"/>
            <w:tcBorders>
              <w:bottom w:val="single" w:sz="8" w:color="E4EDF1"/>
            </w:tcBorders>
            <w:shd w:val="clear" w:color="auto" w:fill="E4EDF1"/>
          </w:tcPr>
          <w:p>
            <w:pPr>
              <w:spacing w:after="0"/>
              <w:rPr>
                <w:sz w:val="14"/>
                <w:szCs w:val="14"/>
                <w:color w:val="auto"/>
              </w:rPr>
            </w:pPr>
          </w:p>
        </w:tc>
        <w:tc>
          <w:tcPr>
            <w:tcW w:w="280" w:type="dxa"/>
            <w:vAlign w:val="bottom"/>
            <w:tcBorders>
              <w:bottom w:val="single" w:sz="8" w:color="auto"/>
            </w:tcBorders>
            <w:vMerge w:val="continue"/>
            <w:shd w:val="clear" w:color="auto" w:fill="E4EDF1"/>
          </w:tcPr>
          <w:p>
            <w:pPr>
              <w:spacing w:after="0"/>
              <w:rPr>
                <w:sz w:val="14"/>
                <w:szCs w:val="14"/>
                <w:color w:val="auto"/>
              </w:rPr>
            </w:pPr>
          </w:p>
        </w:tc>
        <w:tc>
          <w:tcPr>
            <w:tcW w:w="1420" w:type="dxa"/>
            <w:vAlign w:val="bottom"/>
            <w:tcBorders>
              <w:bottom w:val="single" w:sz="8" w:color="auto"/>
            </w:tcBorders>
            <w:vMerge w:val="continue"/>
            <w:shd w:val="clear" w:color="auto" w:fill="E4EDF1"/>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291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2914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95" w:lineRule="exact"/>
        <w:rPr>
          <w:sz w:val="20"/>
          <w:szCs w:val="20"/>
          <w:color w:val="auto"/>
        </w:rPr>
      </w:pPr>
    </w:p>
    <w:p>
      <w:pPr>
        <w:ind w:left="1180" w:right="319" w:hanging="448"/>
        <w:spacing w:after="0" w:line="281" w:lineRule="auto"/>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Assumes $100 was invested in the Company for the period starting December 31, 2023, through the end of the listed year. Historical stock performance is not necessarily indicative of future stock performance.</w:t>
      </w:r>
    </w:p>
    <w:p>
      <w:pPr>
        <w:spacing w:after="0" w:line="1" w:lineRule="exact"/>
        <w:rPr>
          <w:rFonts w:ascii="Arial" w:cs="Arial" w:eastAsia="Arial" w:hAnsi="Arial"/>
          <w:sz w:val="14"/>
          <w:szCs w:val="14"/>
          <w:color w:val="auto"/>
        </w:rPr>
      </w:pPr>
    </w:p>
    <w:p>
      <w:pPr>
        <w:ind w:left="1180" w:right="319" w:hanging="448"/>
        <w:spacing w:after="0" w:line="285" w:lineRule="auto"/>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loss reflected in the Company’s audited financial statements for the applicable year.</w:t>
      </w:r>
    </w:p>
    <w:p>
      <w:pPr>
        <w:spacing w:after="0" w:line="140" w:lineRule="exact"/>
        <w:rPr>
          <w:sz w:val="20"/>
          <w:szCs w:val="20"/>
          <w:color w:val="auto"/>
        </w:rPr>
      </w:pPr>
    </w:p>
    <w:p>
      <w:pPr>
        <w:jc w:val="both"/>
        <w:ind w:left="300" w:right="319"/>
        <w:spacing w:after="0" w:line="270" w:lineRule="auto"/>
        <w:rPr>
          <w:sz w:val="20"/>
          <w:szCs w:val="20"/>
          <w:color w:val="auto"/>
        </w:rPr>
      </w:pPr>
      <w:r>
        <w:rPr>
          <w:rFonts w:ascii="Arial" w:cs="Arial" w:eastAsia="Arial" w:hAnsi="Arial"/>
          <w:sz w:val="22"/>
          <w:szCs w:val="22"/>
          <w:b w:val="1"/>
          <w:bCs w:val="1"/>
          <w:i w:val="1"/>
          <w:iCs w:val="1"/>
          <w:color w:val="0B4B73"/>
        </w:rPr>
        <w:t>Relationship Between PEO and Non-PEO NEO Compensation Actually Paid and Total Stockholder Return (“TSR”)</w:t>
      </w:r>
    </w:p>
    <w:p>
      <w:pPr>
        <w:spacing w:after="0" w:line="32"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Compensation Actually Paid to our Non-PEO NEOs, and the cumulative TSR over the two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3214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294" w:lineRule="exact"/>
        <w:rPr>
          <w:sz w:val="20"/>
          <w:szCs w:val="20"/>
          <w:color w:val="auto"/>
        </w:rPr>
      </w:pPr>
    </w:p>
    <w:p>
      <w:pPr>
        <w:jc w:val="both"/>
        <w:ind w:left="300" w:right="319"/>
        <w:spacing w:after="0" w:line="270" w:lineRule="auto"/>
        <w:rPr>
          <w:sz w:val="20"/>
          <w:szCs w:val="20"/>
          <w:color w:val="auto"/>
        </w:rPr>
      </w:pPr>
      <w:r>
        <w:rPr>
          <w:rFonts w:ascii="Arial" w:cs="Arial" w:eastAsia="Arial" w:hAnsi="Arial"/>
          <w:sz w:val="22"/>
          <w:szCs w:val="22"/>
          <w:b w:val="1"/>
          <w:bCs w:val="1"/>
          <w:i w:val="1"/>
          <w:iCs w:val="1"/>
          <w:color w:val="0B4B73"/>
        </w:rPr>
        <w:t>Relationship Between PEO and Non-PEO NEO Compensation Actually Paid and Net Income (Loss)</w:t>
      </w:r>
    </w:p>
    <w:p>
      <w:pPr>
        <w:spacing w:after="0" w:line="32"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Compensation Actually Paid to our Non-PEO NEOs, and our net income (loss)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31629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Director Compensation</w:t>
      </w:r>
    </w:p>
    <w:p>
      <w:pPr>
        <w:spacing w:after="0" w:line="237" w:lineRule="exact"/>
        <w:rPr>
          <w:sz w:val="20"/>
          <w:szCs w:val="20"/>
          <w:color w:val="auto"/>
        </w:rPr>
      </w:pPr>
    </w:p>
    <w:p>
      <w:pPr>
        <w:ind w:left="300" w:right="299" w:firstLine="324"/>
        <w:spacing w:after="0" w:line="271" w:lineRule="auto"/>
        <w:rPr>
          <w:sz w:val="20"/>
          <w:szCs w:val="20"/>
          <w:color w:val="auto"/>
        </w:rPr>
      </w:pPr>
      <w:r>
        <w:rPr>
          <w:rFonts w:ascii="Arial" w:cs="Arial" w:eastAsia="Arial" w:hAnsi="Arial"/>
          <w:sz w:val="18"/>
          <w:szCs w:val="18"/>
          <w:color w:val="auto"/>
        </w:rPr>
        <w:t>The following table summarizes the compensation earned by or paid to each of the non-employee directors in 2025.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B4B73"/>
        </w:rPr>
        <w:t>Director Compensation for Fiscal Year 2025</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940" w:type="dxa"/>
            <w:vAlign w:val="bottom"/>
            <w:shd w:val="clear" w:color="auto" w:fill="0B4B73"/>
          </w:tcPr>
          <w:p>
            <w:pPr>
              <w:spacing w:after="0"/>
              <w:rPr>
                <w:sz w:val="14"/>
                <w:szCs w:val="14"/>
                <w:color w:val="auto"/>
              </w:rPr>
            </w:pPr>
          </w:p>
        </w:tc>
        <w:tc>
          <w:tcPr>
            <w:tcW w:w="1540" w:type="dxa"/>
            <w:vAlign w:val="bottom"/>
            <w:shd w:val="clear" w:color="auto" w:fill="0B4B73"/>
          </w:tcPr>
          <w:p>
            <w:pPr>
              <w:jc w:val="center"/>
              <w:ind w:right="101"/>
              <w:spacing w:after="0"/>
              <w:rPr>
                <w:sz w:val="20"/>
                <w:szCs w:val="20"/>
                <w:color w:val="auto"/>
              </w:rPr>
            </w:pPr>
            <w:r>
              <w:rPr>
                <w:rFonts w:ascii="Arial" w:cs="Arial" w:eastAsia="Arial" w:hAnsi="Arial"/>
                <w:sz w:val="14"/>
                <w:szCs w:val="14"/>
                <w:b w:val="1"/>
                <w:bCs w:val="1"/>
                <w:color w:val="FFFFFF"/>
              </w:rPr>
              <w:t>Fees Earned or</w:t>
            </w:r>
          </w:p>
        </w:tc>
        <w:tc>
          <w:tcPr>
            <w:tcW w:w="1200" w:type="dxa"/>
            <w:vAlign w:val="bottom"/>
            <w:shd w:val="clear" w:color="auto" w:fill="0B4B73"/>
          </w:tcPr>
          <w:p>
            <w:pPr>
              <w:jc w:val="center"/>
              <w:ind w:right="81"/>
              <w:spacing w:after="0"/>
              <w:rPr>
                <w:sz w:val="20"/>
                <w:szCs w:val="20"/>
                <w:color w:val="auto"/>
              </w:rPr>
            </w:pPr>
            <w:r>
              <w:rPr>
                <w:rFonts w:ascii="Arial" w:cs="Arial" w:eastAsia="Arial" w:hAnsi="Arial"/>
                <w:sz w:val="14"/>
                <w:szCs w:val="14"/>
                <w:b w:val="1"/>
                <w:bCs w:val="1"/>
                <w:color w:val="FFFFFF"/>
              </w:rPr>
              <w:t>Option</w:t>
            </w:r>
          </w:p>
        </w:tc>
        <w:tc>
          <w:tcPr>
            <w:tcW w:w="120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All Other</w:t>
            </w:r>
          </w:p>
        </w:tc>
        <w:tc>
          <w:tcPr>
            <w:tcW w:w="280" w:type="dxa"/>
            <w:vAlign w:val="bottom"/>
            <w:shd w:val="clear" w:color="auto" w:fill="0B4B73"/>
          </w:tcPr>
          <w:p>
            <w:pPr>
              <w:spacing w:after="0"/>
              <w:rPr>
                <w:sz w:val="14"/>
                <w:szCs w:val="14"/>
                <w:color w:val="auto"/>
              </w:rPr>
            </w:pPr>
          </w:p>
        </w:tc>
        <w:tc>
          <w:tcPr>
            <w:tcW w:w="1260" w:type="dxa"/>
            <w:vAlign w:val="bottom"/>
            <w:shd w:val="clear" w:color="auto" w:fill="0B4B73"/>
          </w:tcPr>
          <w:p>
            <w:pPr>
              <w:jc w:val="center"/>
              <w:ind w:right="21"/>
              <w:spacing w:after="0"/>
              <w:rPr>
                <w:sz w:val="20"/>
                <w:szCs w:val="20"/>
                <w:color w:val="auto"/>
              </w:rPr>
            </w:pPr>
            <w:r>
              <w:rPr>
                <w:rFonts w:ascii="Arial" w:cs="Arial" w:eastAsia="Arial" w:hAnsi="Arial"/>
                <w:sz w:val="14"/>
                <w:szCs w:val="14"/>
                <w:b w:val="1"/>
                <w:bCs w:val="1"/>
                <w:color w:val="FFFFFF"/>
              </w:rPr>
              <w:t>Total</w:t>
            </w:r>
          </w:p>
        </w:tc>
      </w:tr>
      <w:tr>
        <w:trPr>
          <w:trHeight w:val="135"/>
        </w:trPr>
        <w:tc>
          <w:tcPr>
            <w:tcW w:w="2940" w:type="dxa"/>
            <w:vAlign w:val="bottom"/>
            <w:shd w:val="clear" w:color="auto" w:fill="0B4B73"/>
          </w:tcPr>
          <w:p>
            <w:pPr>
              <w:spacing w:after="0"/>
              <w:rPr>
                <w:sz w:val="11"/>
                <w:szCs w:val="11"/>
                <w:color w:val="auto"/>
              </w:rPr>
            </w:pPr>
          </w:p>
        </w:tc>
        <w:tc>
          <w:tcPr>
            <w:tcW w:w="1540" w:type="dxa"/>
            <w:vAlign w:val="bottom"/>
            <w:shd w:val="clear" w:color="auto" w:fill="0B4B73"/>
          </w:tcPr>
          <w:p>
            <w:pPr>
              <w:jc w:val="center"/>
              <w:ind w:right="81"/>
              <w:spacing w:after="0" w:line="135" w:lineRule="exact"/>
              <w:rPr>
                <w:sz w:val="20"/>
                <w:szCs w:val="20"/>
                <w:color w:val="auto"/>
              </w:rPr>
            </w:pPr>
            <w:r>
              <w:rPr>
                <w:rFonts w:ascii="Arial" w:cs="Arial" w:eastAsia="Arial" w:hAnsi="Arial"/>
                <w:sz w:val="14"/>
                <w:szCs w:val="14"/>
                <w:b w:val="1"/>
                <w:bCs w:val="1"/>
                <w:color w:val="FFFFFF"/>
              </w:rPr>
              <w:t>Paid in Cash</w:t>
            </w:r>
          </w:p>
        </w:tc>
        <w:tc>
          <w:tcPr>
            <w:tcW w:w="1200" w:type="dxa"/>
            <w:vAlign w:val="bottom"/>
            <w:shd w:val="clear" w:color="auto" w:fill="0B4B73"/>
          </w:tcPr>
          <w:p>
            <w:pPr>
              <w:jc w:val="center"/>
              <w:ind w:right="81"/>
              <w:spacing w:after="0" w:line="135" w:lineRule="exact"/>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B4B73"/>
          </w:tcPr>
          <w:p>
            <w:pPr>
              <w:jc w:val="center"/>
              <w:spacing w:after="0" w:line="135" w:lineRule="exact"/>
              <w:rPr>
                <w:sz w:val="20"/>
                <w:szCs w:val="20"/>
                <w:color w:val="auto"/>
              </w:rPr>
            </w:pPr>
            <w:r>
              <w:rPr>
                <w:rFonts w:ascii="Arial" w:cs="Arial" w:eastAsia="Arial" w:hAnsi="Arial"/>
                <w:sz w:val="14"/>
                <w:szCs w:val="14"/>
                <w:b w:val="1"/>
                <w:bCs w:val="1"/>
                <w:color w:val="FFFFFF"/>
              </w:rPr>
              <w:t>Compensation</w:t>
            </w:r>
          </w:p>
        </w:tc>
        <w:tc>
          <w:tcPr>
            <w:tcW w:w="280" w:type="dxa"/>
            <w:vAlign w:val="bottom"/>
            <w:shd w:val="clear" w:color="auto" w:fill="0B4B73"/>
          </w:tcPr>
          <w:p>
            <w:pPr>
              <w:spacing w:after="0"/>
              <w:rPr>
                <w:sz w:val="11"/>
                <w:szCs w:val="11"/>
                <w:color w:val="auto"/>
              </w:rPr>
            </w:pPr>
          </w:p>
        </w:tc>
        <w:tc>
          <w:tcPr>
            <w:tcW w:w="1260" w:type="dxa"/>
            <w:vAlign w:val="bottom"/>
            <w:shd w:val="clear" w:color="auto" w:fill="0B4B73"/>
          </w:tcPr>
          <w:p>
            <w:pPr>
              <w:jc w:val="center"/>
              <w:ind w:right="21"/>
              <w:spacing w:after="0" w:line="135" w:lineRule="exact"/>
              <w:rPr>
                <w:sz w:val="20"/>
                <w:szCs w:val="20"/>
                <w:color w:val="auto"/>
              </w:rPr>
            </w:pPr>
            <w:r>
              <w:rPr>
                <w:rFonts w:ascii="Arial" w:cs="Arial" w:eastAsia="Arial" w:hAnsi="Arial"/>
                <w:sz w:val="14"/>
                <w:szCs w:val="14"/>
                <w:b w:val="1"/>
                <w:bCs w:val="1"/>
                <w:color w:val="FFFFFF"/>
              </w:rPr>
              <w:t>Compensation</w:t>
            </w:r>
          </w:p>
        </w:tc>
      </w:tr>
      <w:tr>
        <w:trPr>
          <w:trHeight w:val="209"/>
        </w:trPr>
        <w:tc>
          <w:tcPr>
            <w:tcW w:w="2940" w:type="dxa"/>
            <w:vAlign w:val="bottom"/>
            <w:tcBorders>
              <w:bottom w:val="single" w:sz="8" w:color="C3D041"/>
            </w:tcBorders>
            <w:shd w:val="clear" w:color="auto" w:fill="0B4B73"/>
          </w:tcPr>
          <w:p>
            <w:pPr>
              <w:ind w:left="1260"/>
              <w:spacing w:after="0"/>
              <w:rPr>
                <w:sz w:val="20"/>
                <w:szCs w:val="20"/>
                <w:color w:val="auto"/>
              </w:rPr>
            </w:pPr>
            <w:r>
              <w:rPr>
                <w:rFonts w:ascii="Arial" w:cs="Arial" w:eastAsia="Arial" w:hAnsi="Arial"/>
                <w:sz w:val="14"/>
                <w:szCs w:val="14"/>
                <w:b w:val="1"/>
                <w:bCs w:val="1"/>
                <w:color w:val="FFFFFF"/>
              </w:rPr>
              <w:t>Name</w:t>
            </w:r>
          </w:p>
        </w:tc>
        <w:tc>
          <w:tcPr>
            <w:tcW w:w="1540" w:type="dxa"/>
            <w:vAlign w:val="bottom"/>
            <w:tcBorders>
              <w:bottom w:val="single" w:sz="8" w:color="C3D041"/>
            </w:tcBorders>
            <w:shd w:val="clear" w:color="auto" w:fill="0B4B73"/>
          </w:tcPr>
          <w:p>
            <w:pPr>
              <w:jc w:val="center"/>
              <w:ind w:right="81"/>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C3D041"/>
            </w:tcBorders>
            <w:shd w:val="clear" w:color="auto" w:fill="0B4B73"/>
          </w:tcPr>
          <w:p>
            <w:pPr>
              <w:jc w:val="center"/>
              <w:ind w:right="81"/>
              <w:spacing w:after="0" w:line="189"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19"/>
                <w:szCs w:val="19"/>
                <w:b w:val="1"/>
                <w:bCs w:val="1"/>
                <w:color w:val="FFFFFF"/>
                <w:w w:val="85"/>
                <w:vertAlign w:val="superscript"/>
              </w:rPr>
              <w:t>(1)</w:t>
            </w:r>
          </w:p>
        </w:tc>
        <w:tc>
          <w:tcPr>
            <w:tcW w:w="120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C3D041"/>
            </w:tcBorders>
            <w:shd w:val="clear" w:color="auto" w:fill="0B4B73"/>
          </w:tcPr>
          <w:p>
            <w:pPr>
              <w:spacing w:after="0"/>
              <w:rPr>
                <w:sz w:val="18"/>
                <w:szCs w:val="18"/>
                <w:color w:val="auto"/>
              </w:rPr>
            </w:pPr>
          </w:p>
        </w:tc>
        <w:tc>
          <w:tcPr>
            <w:tcW w:w="1260" w:type="dxa"/>
            <w:vAlign w:val="bottom"/>
            <w:tcBorders>
              <w:bottom w:val="single" w:sz="8" w:color="C3D041"/>
            </w:tcBorders>
            <w:shd w:val="clear" w:color="auto" w:fill="0B4B73"/>
          </w:tcPr>
          <w:p>
            <w:pPr>
              <w:jc w:val="center"/>
              <w:ind w:right="21"/>
              <w:spacing w:after="0"/>
              <w:rPr>
                <w:sz w:val="20"/>
                <w:szCs w:val="20"/>
                <w:color w:val="auto"/>
              </w:rPr>
            </w:pPr>
            <w:r>
              <w:rPr>
                <w:rFonts w:ascii="Arial" w:cs="Arial" w:eastAsia="Arial" w:hAnsi="Arial"/>
                <w:sz w:val="14"/>
                <w:szCs w:val="14"/>
                <w:b w:val="1"/>
                <w:bCs w:val="1"/>
                <w:color w:val="FFFFFF"/>
                <w:w w:val="93"/>
              </w:rPr>
              <w:t>($)</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6"/>
                <w:szCs w:val="16"/>
                <w:color w:val="auto"/>
              </w:rPr>
              <w:t>Rajeev Dadoo, Ph.D.</w:t>
            </w:r>
            <w:r>
              <w:rPr>
                <w:rFonts w:ascii="Arial" w:cs="Arial" w:eastAsia="Arial" w:hAnsi="Arial"/>
                <w:sz w:val="21"/>
                <w:szCs w:val="21"/>
                <w:color w:val="auto"/>
                <w:vertAlign w:val="superscript"/>
              </w:rPr>
              <w:t>(2)</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57,500</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425,459</w:t>
            </w:r>
          </w:p>
        </w:tc>
      </w:tr>
      <w:tr>
        <w:trPr>
          <w:trHeight w:val="189"/>
        </w:trPr>
        <w:tc>
          <w:tcPr>
            <w:tcW w:w="29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Saqib Islam, J.D.</w:t>
            </w:r>
            <w:r>
              <w:rPr>
                <w:rFonts w:ascii="Arial" w:cs="Arial" w:eastAsia="Arial" w:hAnsi="Arial"/>
                <w:sz w:val="21"/>
                <w:szCs w:val="21"/>
                <w:color w:val="auto"/>
                <w:vertAlign w:val="superscript"/>
              </w:rPr>
              <w:t>(3)</w:t>
            </w:r>
          </w:p>
        </w:tc>
        <w:tc>
          <w:tcPr>
            <w:tcW w:w="1540" w:type="dxa"/>
            <w:vAlign w:val="bottom"/>
            <w:shd w:val="clear" w:color="auto" w:fill="E4EDF1"/>
          </w:tcPr>
          <w:p>
            <w:pPr>
              <w:jc w:val="right"/>
              <w:ind w:right="181"/>
              <w:spacing w:after="0"/>
              <w:rPr>
                <w:sz w:val="20"/>
                <w:szCs w:val="20"/>
                <w:color w:val="auto"/>
              </w:rPr>
            </w:pPr>
            <w:r>
              <w:rPr>
                <w:rFonts w:ascii="Arial" w:cs="Arial" w:eastAsia="Arial" w:hAnsi="Arial"/>
                <w:sz w:val="16"/>
                <w:szCs w:val="16"/>
                <w:color w:val="auto"/>
              </w:rPr>
              <w:t>62,500</w:t>
            </w:r>
          </w:p>
        </w:tc>
        <w:tc>
          <w:tcPr>
            <w:tcW w:w="120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DF1"/>
          </w:tcPr>
          <w:p>
            <w:pPr>
              <w:spacing w:after="0"/>
              <w:rPr>
                <w:sz w:val="16"/>
                <w:szCs w:val="16"/>
                <w:color w:val="auto"/>
              </w:rPr>
            </w:pPr>
          </w:p>
        </w:tc>
        <w:tc>
          <w:tcPr>
            <w:tcW w:w="12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430,459</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6"/>
                <w:szCs w:val="16"/>
                <w:color w:val="auto"/>
              </w:rPr>
              <w:t>Michael Kelly</w:t>
            </w:r>
            <w:r>
              <w:rPr>
                <w:rFonts w:ascii="Arial" w:cs="Arial" w:eastAsia="Arial" w:hAnsi="Arial"/>
                <w:sz w:val="21"/>
                <w:szCs w:val="21"/>
                <w:color w:val="auto"/>
                <w:vertAlign w:val="superscript"/>
              </w:rPr>
              <w:t>(4)</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67,500</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435,459</w:t>
            </w:r>
          </w:p>
        </w:tc>
      </w:tr>
      <w:tr>
        <w:trPr>
          <w:trHeight w:val="189"/>
        </w:trPr>
        <w:tc>
          <w:tcPr>
            <w:tcW w:w="29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Peter Kolchinsky, Ph.D.</w:t>
            </w:r>
            <w:r>
              <w:rPr>
                <w:rFonts w:ascii="Arial" w:cs="Arial" w:eastAsia="Arial" w:hAnsi="Arial"/>
                <w:sz w:val="21"/>
                <w:szCs w:val="21"/>
                <w:color w:val="auto"/>
                <w:vertAlign w:val="superscript"/>
              </w:rPr>
              <w:t>(5)</w:t>
            </w:r>
          </w:p>
        </w:tc>
        <w:tc>
          <w:tcPr>
            <w:tcW w:w="1540" w:type="dxa"/>
            <w:vAlign w:val="bottom"/>
            <w:shd w:val="clear" w:color="auto" w:fill="E4EDF1"/>
          </w:tcPr>
          <w:p>
            <w:pPr>
              <w:jc w:val="right"/>
              <w:ind w:right="181"/>
              <w:spacing w:after="0"/>
              <w:rPr>
                <w:sz w:val="20"/>
                <w:szCs w:val="20"/>
                <w:color w:val="auto"/>
              </w:rPr>
            </w:pPr>
            <w:r>
              <w:rPr>
                <w:rFonts w:ascii="Arial" w:cs="Arial" w:eastAsia="Arial" w:hAnsi="Arial"/>
                <w:sz w:val="16"/>
                <w:szCs w:val="16"/>
                <w:color w:val="auto"/>
              </w:rPr>
              <w:t>62,500</w:t>
            </w:r>
          </w:p>
        </w:tc>
        <w:tc>
          <w:tcPr>
            <w:tcW w:w="120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DF1"/>
          </w:tcPr>
          <w:p>
            <w:pPr>
              <w:spacing w:after="0"/>
              <w:rPr>
                <w:sz w:val="16"/>
                <w:szCs w:val="16"/>
                <w:color w:val="auto"/>
              </w:rPr>
            </w:pPr>
          </w:p>
        </w:tc>
        <w:tc>
          <w:tcPr>
            <w:tcW w:w="12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430,459</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6"/>
                <w:szCs w:val="16"/>
                <w:color w:val="auto"/>
              </w:rPr>
              <w:t>Brenton L. Saunders</w:t>
            </w:r>
            <w:r>
              <w:rPr>
                <w:rFonts w:ascii="Arial" w:cs="Arial" w:eastAsia="Arial" w:hAnsi="Arial"/>
                <w:sz w:val="21"/>
                <w:szCs w:val="21"/>
                <w:color w:val="auto"/>
                <w:vertAlign w:val="superscript"/>
              </w:rPr>
              <w:t>(6)</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67,500</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435,459</w:t>
            </w:r>
          </w:p>
        </w:tc>
      </w:tr>
      <w:tr>
        <w:trPr>
          <w:trHeight w:val="189"/>
        </w:trPr>
        <w:tc>
          <w:tcPr>
            <w:tcW w:w="29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Phillip Schneider</w:t>
            </w:r>
            <w:r>
              <w:rPr>
                <w:rFonts w:ascii="Arial" w:cs="Arial" w:eastAsia="Arial" w:hAnsi="Arial"/>
                <w:sz w:val="21"/>
                <w:szCs w:val="21"/>
                <w:color w:val="auto"/>
                <w:vertAlign w:val="superscript"/>
              </w:rPr>
              <w:t>(7)</w:t>
            </w:r>
          </w:p>
        </w:tc>
        <w:tc>
          <w:tcPr>
            <w:tcW w:w="1540" w:type="dxa"/>
            <w:vAlign w:val="bottom"/>
            <w:shd w:val="clear" w:color="auto" w:fill="E4EDF1"/>
          </w:tcPr>
          <w:p>
            <w:pPr>
              <w:jc w:val="right"/>
              <w:ind w:right="181"/>
              <w:spacing w:after="0"/>
              <w:rPr>
                <w:sz w:val="20"/>
                <w:szCs w:val="20"/>
                <w:color w:val="auto"/>
              </w:rPr>
            </w:pPr>
            <w:r>
              <w:rPr>
                <w:rFonts w:ascii="Arial" w:cs="Arial" w:eastAsia="Arial" w:hAnsi="Arial"/>
                <w:sz w:val="16"/>
                <w:szCs w:val="16"/>
                <w:color w:val="auto"/>
              </w:rPr>
              <w:t>72,500</w:t>
            </w:r>
          </w:p>
        </w:tc>
        <w:tc>
          <w:tcPr>
            <w:tcW w:w="120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DF1"/>
          </w:tcPr>
          <w:p>
            <w:pPr>
              <w:spacing w:after="0"/>
              <w:rPr>
                <w:sz w:val="16"/>
                <w:szCs w:val="16"/>
                <w:color w:val="auto"/>
              </w:rPr>
            </w:pPr>
          </w:p>
        </w:tc>
        <w:tc>
          <w:tcPr>
            <w:tcW w:w="12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440,459</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6"/>
                <w:szCs w:val="16"/>
                <w:color w:val="auto"/>
              </w:rPr>
              <w:t>Pratik Shah, Ph.D.</w:t>
            </w:r>
            <w:r>
              <w:rPr>
                <w:rFonts w:ascii="Arial" w:cs="Arial" w:eastAsia="Arial" w:hAnsi="Arial"/>
                <w:sz w:val="21"/>
                <w:szCs w:val="21"/>
                <w:color w:val="auto"/>
                <w:vertAlign w:val="superscript"/>
              </w:rPr>
              <w:t>(8)</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81,250</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tcPr>
          <w:p>
            <w:pPr>
              <w:jc w:val="right"/>
              <w:spacing w:after="0"/>
              <w:rPr>
                <w:sz w:val="20"/>
                <w:szCs w:val="20"/>
                <w:color w:val="auto"/>
              </w:rPr>
            </w:pPr>
            <w:r>
              <w:rPr>
                <w:rFonts w:ascii="Arial" w:cs="Arial" w:eastAsia="Arial" w:hAnsi="Arial"/>
                <w:sz w:val="16"/>
                <w:szCs w:val="16"/>
                <w:color w:val="auto"/>
              </w:rPr>
              <w:t>240,000</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689,209</w:t>
            </w:r>
          </w:p>
        </w:tc>
      </w:tr>
      <w:tr>
        <w:trPr>
          <w:trHeight w:val="189"/>
        </w:trPr>
        <w:tc>
          <w:tcPr>
            <w:tcW w:w="29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Laura Shawver, Ph.D.</w:t>
            </w:r>
            <w:r>
              <w:rPr>
                <w:rFonts w:ascii="Arial" w:cs="Arial" w:eastAsia="Arial" w:hAnsi="Arial"/>
                <w:sz w:val="21"/>
                <w:szCs w:val="21"/>
                <w:color w:val="auto"/>
                <w:vertAlign w:val="superscript"/>
              </w:rPr>
              <w:t>(10)</w:t>
            </w:r>
          </w:p>
        </w:tc>
        <w:tc>
          <w:tcPr>
            <w:tcW w:w="1540" w:type="dxa"/>
            <w:vAlign w:val="bottom"/>
            <w:shd w:val="clear" w:color="auto" w:fill="E4EDF1"/>
          </w:tcPr>
          <w:p>
            <w:pPr>
              <w:jc w:val="right"/>
              <w:ind w:right="181"/>
              <w:spacing w:after="0"/>
              <w:rPr>
                <w:sz w:val="20"/>
                <w:szCs w:val="20"/>
                <w:color w:val="auto"/>
              </w:rPr>
            </w:pPr>
            <w:r>
              <w:rPr>
                <w:rFonts w:ascii="Arial" w:cs="Arial" w:eastAsia="Arial" w:hAnsi="Arial"/>
                <w:sz w:val="16"/>
                <w:szCs w:val="16"/>
                <w:color w:val="auto"/>
              </w:rPr>
              <w:t>49,792</w:t>
            </w:r>
          </w:p>
        </w:tc>
        <w:tc>
          <w:tcPr>
            <w:tcW w:w="120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shd w:val="clear" w:color="auto" w:fill="E4EDF1"/>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DF1"/>
          </w:tcPr>
          <w:p>
            <w:pPr>
              <w:spacing w:after="0"/>
              <w:rPr>
                <w:sz w:val="16"/>
                <w:szCs w:val="16"/>
                <w:color w:val="auto"/>
              </w:rPr>
            </w:pPr>
          </w:p>
        </w:tc>
        <w:tc>
          <w:tcPr>
            <w:tcW w:w="12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417,751</w:t>
            </w:r>
          </w:p>
        </w:tc>
      </w:tr>
      <w:tr>
        <w:trPr>
          <w:trHeight w:val="290"/>
        </w:trPr>
        <w:tc>
          <w:tcPr>
            <w:tcW w:w="2940" w:type="dxa"/>
            <w:vAlign w:val="bottom"/>
          </w:tcPr>
          <w:p>
            <w:pPr>
              <w:spacing w:after="0"/>
              <w:rPr>
                <w:sz w:val="20"/>
                <w:szCs w:val="20"/>
                <w:color w:val="auto"/>
              </w:rPr>
            </w:pPr>
            <w:r>
              <w:rPr>
                <w:rFonts w:ascii="Arial" w:cs="Arial" w:eastAsia="Arial" w:hAnsi="Arial"/>
                <w:sz w:val="16"/>
                <w:szCs w:val="16"/>
                <w:color w:val="auto"/>
              </w:rPr>
              <w:t>Peter A Thompson, M.D.</w:t>
            </w:r>
            <w:r>
              <w:rPr>
                <w:rFonts w:ascii="Arial" w:cs="Arial" w:eastAsia="Arial" w:hAnsi="Arial"/>
                <w:sz w:val="21"/>
                <w:szCs w:val="21"/>
                <w:color w:val="auto"/>
                <w:vertAlign w:val="superscript"/>
              </w:rPr>
              <w:t>(11)</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55,000</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367,959</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422,959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81915</wp:posOffset>
            </wp:positionV>
            <wp:extent cx="1234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1" w:lineRule="exact"/>
        <w:rPr>
          <w:sz w:val="20"/>
          <w:szCs w:val="20"/>
          <w:color w:val="auto"/>
        </w:rPr>
      </w:pPr>
    </w:p>
    <w:p>
      <w:pPr>
        <w:jc w:val="both"/>
        <w:ind w:left="740" w:right="299" w:hanging="448"/>
        <w:spacing w:after="0" w:line="250" w:lineRule="auto"/>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listed represent the aggregate grant date fair value amount computed as of the grant date of each option awarded in 2025 in accordance with FASB ASC Topic 718 for stock-based compensation transactions. Assumptions used in the calculation of these amounts are included in Note 13 to our financial statements in our Annual Report on Form 10-K for the year ended December 31, 2025. As required by SEC rules, the amounts shown exclude the impact of estimated forfeitures related to service-based vesting conditions. Our directors will only realize compensation to the extent the trading price of our common stock is greater than the exercise price of such stock options.</w:t>
      </w:r>
    </w:p>
    <w:p>
      <w:pPr>
        <w:spacing w:after="0" w:line="19"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Dr. Dadoo at December 31, 2025 was 110,000.</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Mr. Islam at December 31, 2025 was 263,448.</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Mr. Kelly at December 31, 2025 was 298,612.</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Dr. Kolchinsky at December 31, 2025 was 110,000.</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Mr. Saunders at December 31, 2025 was 734,597.</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Mr. Schneider at December 31, 2025 was 340,470.</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Dr. Shah at December 31, 2025 was 464,570.</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aggregate fees of $240,000 paid and payable to Marlinspike. See “Certain Related-Person Transactions,” below.</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Dr. Shawver at December 31, 2025 was 1,023,385.</w:t>
      </w:r>
    </w:p>
    <w:p>
      <w:pPr>
        <w:spacing w:after="0" w:line="55" w:lineRule="exact"/>
        <w:rPr>
          <w:rFonts w:ascii="Arial" w:cs="Arial" w:eastAsia="Arial" w:hAnsi="Arial"/>
          <w:sz w:val="14"/>
          <w:szCs w:val="14"/>
          <w:color w:val="auto"/>
        </w:rPr>
      </w:pPr>
    </w:p>
    <w:p>
      <w:pPr>
        <w:ind w:left="740" w:hanging="44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Aggregate number of shares subject to options outstanding held by Dr. Thompson at December 31, 2025 was 181,270.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ind w:left="300" w:right="919" w:firstLine="324"/>
        <w:spacing w:after="0" w:line="271" w:lineRule="auto"/>
        <w:rPr>
          <w:sz w:val="20"/>
          <w:szCs w:val="20"/>
          <w:color w:val="auto"/>
        </w:rPr>
      </w:pPr>
      <w:r>
        <w:rPr>
          <w:rFonts w:ascii="Arial" w:cs="Arial" w:eastAsia="Arial" w:hAnsi="Arial"/>
          <w:sz w:val="18"/>
          <w:szCs w:val="18"/>
          <w:color w:val="auto"/>
        </w:rPr>
        <w:t>Our non-employee director compensation policy provided that each non-employee director will receive the following compensation for service on our Board of Directors:</w:t>
      </w:r>
    </w:p>
    <w:p>
      <w:pPr>
        <w:spacing w:after="0" w:line="46" w:lineRule="exact"/>
        <w:rPr>
          <w:sz w:val="20"/>
          <w:szCs w:val="20"/>
          <w:color w:val="auto"/>
        </w:rPr>
      </w:pPr>
    </w:p>
    <w:p>
      <w:pPr>
        <w:ind w:left="1180" w:hanging="448"/>
        <w:spacing w:after="0"/>
        <w:tabs>
          <w:tab w:leader="none" w:pos="11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cash retainer of $50,000;</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additional annual cash retainer of $35,000 for service as Chair of our Board of Directors;</w:t>
      </w:r>
    </w:p>
    <w:p>
      <w:pPr>
        <w:spacing w:after="0" w:line="116" w:lineRule="exact"/>
        <w:rPr>
          <w:rFonts w:ascii="Times New Roman" w:cs="Times New Roman" w:eastAsia="Times New Roman" w:hAnsi="Times New Roman"/>
          <w:sz w:val="18"/>
          <w:szCs w:val="18"/>
          <w:color w:val="auto"/>
        </w:rPr>
      </w:pPr>
    </w:p>
    <w:p>
      <w:pPr>
        <w:jc w:val="both"/>
        <w:ind w:left="1180" w:right="299" w:hanging="448"/>
        <w:spacing w:after="0" w:line="246" w:lineRule="auto"/>
        <w:tabs>
          <w:tab w:leader="none" w:pos="11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additional annual cash retainer of $10,000, $10,000, $7,500 and $5,000 for service as a member of the Audit Committee, Commercial Committee, Compensation Committee and the Nominating and Corporate Governance Committee, respectively (not applicable to committee chairs);</w:t>
      </w:r>
    </w:p>
    <w:p>
      <w:pPr>
        <w:spacing w:after="0" w:line="68" w:lineRule="exact"/>
        <w:rPr>
          <w:rFonts w:ascii="Times New Roman" w:cs="Times New Roman" w:eastAsia="Times New Roman" w:hAnsi="Times New Roman"/>
          <w:sz w:val="18"/>
          <w:szCs w:val="18"/>
          <w:color w:val="auto"/>
        </w:rPr>
      </w:pPr>
    </w:p>
    <w:p>
      <w:pPr>
        <w:jc w:val="both"/>
        <w:ind w:left="1180" w:right="299" w:hanging="448"/>
        <w:spacing w:after="0" w:line="252" w:lineRule="auto"/>
        <w:tabs>
          <w:tab w:leader="none" w:pos="11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additional annual cash retainer of $20,000, $20,000, $15,000 and $15,000 for service as chair of the Audit Committee, Commercial Committee, Compensation Committee and the Nominating and Corporate Governance Committee, respectively;</w:t>
      </w:r>
    </w:p>
    <w:p>
      <w:pPr>
        <w:spacing w:after="0" w:line="62" w:lineRule="exact"/>
        <w:rPr>
          <w:rFonts w:ascii="Times New Roman" w:cs="Times New Roman" w:eastAsia="Times New Roman" w:hAnsi="Times New Roman"/>
          <w:sz w:val="18"/>
          <w:szCs w:val="18"/>
          <w:color w:val="auto"/>
        </w:rPr>
      </w:pPr>
    </w:p>
    <w:p>
      <w:pPr>
        <w:jc w:val="both"/>
        <w:ind w:left="1180" w:right="299" w:hanging="448"/>
        <w:spacing w:after="0" w:line="243" w:lineRule="auto"/>
        <w:tabs>
          <w:tab w:leader="none" w:pos="11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initial option grant to purchase 60,000 shares of our common stock on the date of each such non-employee director’s appointment to our Board, with a vesting schedule of 1/3 vesting upon the first anniversary of the grant and the remainder vesting in equal monthly installments over the next 24 months, subject to continued service as a director through the vesting date; and</w:t>
      </w:r>
    </w:p>
    <w:p>
      <w:pPr>
        <w:spacing w:after="0" w:line="71" w:lineRule="exact"/>
        <w:rPr>
          <w:rFonts w:ascii="Times New Roman" w:cs="Times New Roman" w:eastAsia="Times New Roman" w:hAnsi="Times New Roman"/>
          <w:sz w:val="18"/>
          <w:szCs w:val="18"/>
          <w:color w:val="auto"/>
        </w:rPr>
      </w:pPr>
    </w:p>
    <w:p>
      <w:pPr>
        <w:jc w:val="both"/>
        <w:ind w:left="1180" w:right="299" w:hanging="448"/>
        <w:spacing w:after="0" w:line="242" w:lineRule="auto"/>
        <w:tabs>
          <w:tab w:leader="none" w:pos="11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option grant to purchase 30,000 shares of our common stock on the date of each of our annual stockholder meetings, with the shares vesting on the earlier of the first anniversary of the date of grant or the next annual stockholders meeting, subject to continued service as a director though the applicable vesting date. In addition to the initial option grant described above, in the event a director is appointed prior to an annual stockholder meeting, such director will receive a prorated annual option grant.</w:t>
      </w:r>
    </w:p>
    <w:p>
      <w:pPr>
        <w:spacing w:after="0" w:line="178" w:lineRule="exact"/>
        <w:rPr>
          <w:sz w:val="20"/>
          <w:szCs w:val="20"/>
          <w:color w:val="auto"/>
        </w:rPr>
      </w:pPr>
    </w:p>
    <w:p>
      <w:pPr>
        <w:jc w:val="both"/>
        <w:ind w:left="300" w:right="299" w:firstLine="441"/>
        <w:spacing w:after="0" w:line="244" w:lineRule="auto"/>
        <w:rPr>
          <w:sz w:val="20"/>
          <w:szCs w:val="20"/>
          <w:color w:val="auto"/>
        </w:rPr>
      </w:pPr>
      <w:r>
        <w:rPr>
          <w:rFonts w:ascii="Arial" w:cs="Arial" w:eastAsia="Arial" w:hAnsi="Arial"/>
          <w:sz w:val="18"/>
          <w:szCs w:val="18"/>
          <w:color w:val="auto"/>
        </w:rPr>
        <w:t>Each of the options granted under our non-employee director compensation policy will be granted under our 2020 Equity Incentive Plan (the “2020 Plan”). Each option awarded to directors under the non-employee director compensation policy will be subject to accelerated vesting upon a “change in control” (as defined in the 2020 Plan). The term of each option will be ten years, subject to earlier termination as provided in the 2020 Plan and the applicable option agreement.</w:t>
      </w:r>
    </w:p>
    <w:p>
      <w:pPr>
        <w:spacing w:after="0" w:line="176" w:lineRule="exact"/>
        <w:rPr>
          <w:sz w:val="20"/>
          <w:szCs w:val="20"/>
          <w:color w:val="auto"/>
        </w:rPr>
      </w:pPr>
    </w:p>
    <w:p>
      <w:pPr>
        <w:jc w:val="both"/>
        <w:ind w:left="300" w:right="319" w:firstLine="441"/>
        <w:spacing w:after="0" w:line="253" w:lineRule="auto"/>
        <w:rPr>
          <w:sz w:val="20"/>
          <w:szCs w:val="20"/>
          <w:color w:val="auto"/>
        </w:rPr>
      </w:pPr>
      <w:r>
        <w:rPr>
          <w:rFonts w:ascii="Arial" w:cs="Arial" w:eastAsia="Arial" w:hAnsi="Arial"/>
          <w:sz w:val="18"/>
          <w:szCs w:val="18"/>
          <w:color w:val="auto"/>
        </w:rPr>
        <w:t>We have reimbursed and will continue to reimburse all of our non-employee directors for their reasonable out-of-pocket expenses incurred in attending Board and committee meetings. Director’s fees are prorated to the date the director is appointed or elected.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0" w:name="page61"/>
    <w:bookmarkEnd w:id="60"/>
    <w:p>
      <w:pPr>
        <w:spacing w:after="0" w:line="290" w:lineRule="exact"/>
        <w:rPr>
          <w:sz w:val="20"/>
          <w:szCs w:val="20"/>
          <w:color w:val="auto"/>
        </w:rPr>
      </w:pPr>
    </w:p>
    <w:p>
      <w:pPr>
        <w:jc w:val="center"/>
        <w:ind w:left="292" w:right="391"/>
        <w:spacing w:after="0" w:line="298" w:lineRule="auto"/>
        <w:rPr>
          <w:sz w:val="20"/>
          <w:szCs w:val="20"/>
          <w:color w:val="auto"/>
        </w:rPr>
      </w:pPr>
      <w:r>
        <w:rPr>
          <w:rFonts w:ascii="Arial" w:cs="Arial" w:eastAsia="Arial" w:hAnsi="Arial"/>
          <w:sz w:val="32"/>
          <w:szCs w:val="32"/>
          <w:b w:val="1"/>
          <w:bCs w:val="1"/>
          <w:color w:val="0B4B73"/>
        </w:rPr>
        <w:t>Security Ownership of Certain Beneficial Owners and Management</w:t>
      </w:r>
    </w:p>
    <w:p>
      <w:pPr>
        <w:spacing w:after="0" w:line="70" w:lineRule="exact"/>
        <w:rPr>
          <w:sz w:val="20"/>
          <w:szCs w:val="20"/>
          <w:color w:val="auto"/>
        </w:rPr>
      </w:pPr>
    </w:p>
    <w:p>
      <w:pPr>
        <w:jc w:val="both"/>
        <w:ind w:left="300" w:right="299" w:firstLine="441"/>
        <w:spacing w:after="0" w:line="247" w:lineRule="auto"/>
        <w:rPr>
          <w:sz w:val="20"/>
          <w:szCs w:val="20"/>
          <w:color w:val="auto"/>
        </w:rPr>
      </w:pPr>
      <w:r>
        <w:rPr>
          <w:rFonts w:ascii="Arial" w:cs="Arial" w:eastAsia="Arial" w:hAnsi="Arial"/>
          <w:sz w:val="18"/>
          <w:szCs w:val="18"/>
          <w:color w:val="auto"/>
        </w:rPr>
        <w:t>The following table sets forth certain information regarding the ownership of our common stock as of March 31, 2026, by: (i) each of our directors; (ii) each of our Named Executive Officers in the Summary Compensation Table; (iii) all of our current executive officers and directors as a group; and (iv) all those known by us to be beneficial owners of more than 5% of our common stock.</w:t>
      </w:r>
    </w:p>
    <w:p>
      <w:pPr>
        <w:spacing w:after="0" w:line="174"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The following table is based upon information supplied by officers, directors and principal stockholders and Schedules 13D and/or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99,300,137 shares outstanding on March 31, 2026, adjusted as required by rules promulgated by the SEC. Unless otherwise indicated, the address for the following stockholders is c/o ARS Pharmaceuticals, Inc., 11682 El Camino Real, Suite 300, San Diego, California 92130.</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640" w:type="dxa"/>
            <w:vAlign w:val="bottom"/>
            <w:shd w:val="clear" w:color="auto" w:fill="0B4B73"/>
          </w:tcPr>
          <w:p>
            <w:pPr>
              <w:spacing w:after="0"/>
              <w:rPr>
                <w:sz w:val="14"/>
                <w:szCs w:val="14"/>
                <w:color w:val="auto"/>
              </w:rPr>
            </w:pPr>
          </w:p>
        </w:tc>
        <w:tc>
          <w:tcPr>
            <w:tcW w:w="1320" w:type="dxa"/>
            <w:vAlign w:val="bottom"/>
            <w:shd w:val="clear" w:color="auto" w:fill="0B4B73"/>
          </w:tcPr>
          <w:p>
            <w:pPr>
              <w:jc w:val="center"/>
              <w:ind w:left="1"/>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0B4B73"/>
          </w:tcPr>
          <w:p>
            <w:pPr>
              <w:jc w:val="center"/>
              <w:ind w:left="1"/>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5640" w:type="dxa"/>
            <w:vAlign w:val="bottom"/>
            <w:shd w:val="clear" w:color="auto" w:fill="0B4B73"/>
          </w:tcPr>
          <w:p>
            <w:pPr>
              <w:spacing w:after="0"/>
              <w:rPr>
                <w:sz w:val="14"/>
                <w:szCs w:val="14"/>
                <w:color w:val="auto"/>
              </w:rPr>
            </w:pPr>
          </w:p>
        </w:tc>
        <w:tc>
          <w:tcPr>
            <w:tcW w:w="1320" w:type="dxa"/>
            <w:vAlign w:val="bottom"/>
            <w:shd w:val="clear" w:color="auto" w:fill="0B4B73"/>
          </w:tcPr>
          <w:p>
            <w:pPr>
              <w:jc w:val="center"/>
              <w:ind w:left="1"/>
              <w:spacing w:after="0"/>
              <w:rPr>
                <w:sz w:val="20"/>
                <w:szCs w:val="20"/>
                <w:color w:val="auto"/>
              </w:rPr>
            </w:pPr>
            <w:r>
              <w:rPr>
                <w:rFonts w:ascii="Arial" w:cs="Arial" w:eastAsia="Arial" w:hAnsi="Arial"/>
                <w:sz w:val="14"/>
                <w:szCs w:val="14"/>
                <w:b w:val="1"/>
                <w:bCs w:val="1"/>
                <w:color w:val="FFFFFF"/>
              </w:rPr>
              <w:t>Shares</w:t>
            </w:r>
          </w:p>
        </w:tc>
        <w:tc>
          <w:tcPr>
            <w:tcW w:w="14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5640" w:type="dxa"/>
            <w:vAlign w:val="bottom"/>
            <w:shd w:val="clear" w:color="auto" w:fill="0B4B73"/>
          </w:tcPr>
          <w:p>
            <w:pPr>
              <w:spacing w:after="0"/>
              <w:rPr>
                <w:sz w:val="14"/>
                <w:szCs w:val="14"/>
                <w:color w:val="auto"/>
              </w:rPr>
            </w:pPr>
          </w:p>
        </w:tc>
        <w:tc>
          <w:tcPr>
            <w:tcW w:w="1320" w:type="dxa"/>
            <w:vAlign w:val="bottom"/>
            <w:shd w:val="clear" w:color="auto" w:fill="0B4B73"/>
          </w:tcPr>
          <w:p>
            <w:pPr>
              <w:jc w:val="center"/>
              <w:ind w:left="1"/>
              <w:spacing w:after="0"/>
              <w:rPr>
                <w:sz w:val="20"/>
                <w:szCs w:val="20"/>
                <w:color w:val="auto"/>
              </w:rPr>
            </w:pPr>
            <w:r>
              <w:rPr>
                <w:rFonts w:ascii="Arial" w:cs="Arial" w:eastAsia="Arial" w:hAnsi="Arial"/>
                <w:sz w:val="14"/>
                <w:szCs w:val="14"/>
                <w:b w:val="1"/>
                <w:bCs w:val="1"/>
                <w:color w:val="FFFFFF"/>
              </w:rPr>
              <w:t>Beneficially</w:t>
            </w:r>
          </w:p>
        </w:tc>
        <w:tc>
          <w:tcPr>
            <w:tcW w:w="14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Beneficially</w:t>
            </w:r>
          </w:p>
        </w:tc>
      </w:tr>
      <w:tr>
        <w:trPr>
          <w:trHeight w:val="162"/>
        </w:trPr>
        <w:tc>
          <w:tcPr>
            <w:tcW w:w="5640" w:type="dxa"/>
            <w:vAlign w:val="bottom"/>
            <w:shd w:val="clear" w:color="auto" w:fill="0B4B73"/>
          </w:tcPr>
          <w:p>
            <w:pPr>
              <w:spacing w:after="0"/>
              <w:rPr>
                <w:sz w:val="14"/>
                <w:szCs w:val="14"/>
                <w:color w:val="auto"/>
              </w:rPr>
            </w:pPr>
          </w:p>
        </w:tc>
        <w:tc>
          <w:tcPr>
            <w:tcW w:w="1320" w:type="dxa"/>
            <w:vAlign w:val="bottom"/>
            <w:shd w:val="clear" w:color="auto" w:fill="0B4B73"/>
          </w:tcPr>
          <w:p>
            <w:pPr>
              <w:jc w:val="center"/>
              <w:ind w:left="1"/>
              <w:spacing w:after="0"/>
              <w:rPr>
                <w:sz w:val="20"/>
                <w:szCs w:val="20"/>
                <w:color w:val="auto"/>
              </w:rPr>
            </w:pPr>
            <w:r>
              <w:rPr>
                <w:rFonts w:ascii="Arial" w:cs="Arial" w:eastAsia="Arial" w:hAnsi="Arial"/>
                <w:sz w:val="14"/>
                <w:szCs w:val="14"/>
                <w:b w:val="1"/>
                <w:bCs w:val="1"/>
                <w:color w:val="FFFFFF"/>
              </w:rPr>
              <w:t>Owned</w:t>
            </w:r>
          </w:p>
        </w:tc>
        <w:tc>
          <w:tcPr>
            <w:tcW w:w="146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Owned</w:t>
            </w:r>
          </w:p>
        </w:tc>
      </w:tr>
      <w:tr>
        <w:trPr>
          <w:trHeight w:val="183"/>
        </w:trPr>
        <w:tc>
          <w:tcPr>
            <w:tcW w:w="5640" w:type="dxa"/>
            <w:vAlign w:val="bottom"/>
            <w:tcBorders>
              <w:bottom w:val="single" w:sz="8" w:color="C3D041"/>
            </w:tcBorders>
            <w:shd w:val="clear" w:color="auto" w:fill="0B4B73"/>
          </w:tcPr>
          <w:p>
            <w:pPr>
              <w:spacing w:after="0"/>
              <w:rPr>
                <w:sz w:val="20"/>
                <w:szCs w:val="20"/>
                <w:color w:val="auto"/>
              </w:rPr>
            </w:pPr>
            <w:r>
              <w:rPr>
                <w:rFonts w:ascii="Arial" w:cs="Arial" w:eastAsia="Arial" w:hAnsi="Arial"/>
                <w:sz w:val="14"/>
                <w:szCs w:val="14"/>
                <w:b w:val="1"/>
                <w:bCs w:val="1"/>
                <w:color w:val="FFFFFF"/>
              </w:rPr>
              <w:t>Name of Beneficial Owner</w:t>
            </w:r>
          </w:p>
        </w:tc>
        <w:tc>
          <w:tcPr>
            <w:tcW w:w="1320" w:type="dxa"/>
            <w:vAlign w:val="bottom"/>
            <w:tcBorders>
              <w:bottom w:val="single" w:sz="8" w:color="C3D041"/>
            </w:tcBorders>
            <w:shd w:val="clear" w:color="auto" w:fill="0B4B73"/>
          </w:tcPr>
          <w:p>
            <w:pPr>
              <w:jc w:val="center"/>
              <w:ind w:left="21"/>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bottom w:val="single" w:sz="8" w:color="C3D041"/>
            </w:tcBorders>
            <w:shd w:val="clear" w:color="auto" w:fill="0B4B73"/>
          </w:tcPr>
          <w:p>
            <w:pPr>
              <w:jc w:val="center"/>
              <w:ind w:left="1"/>
              <w:spacing w:after="0"/>
              <w:rPr>
                <w:sz w:val="20"/>
                <w:szCs w:val="20"/>
                <w:color w:val="auto"/>
              </w:rPr>
            </w:pPr>
            <w:r>
              <w:rPr>
                <w:rFonts w:ascii="Arial" w:cs="Arial" w:eastAsia="Arial" w:hAnsi="Arial"/>
                <w:sz w:val="14"/>
                <w:szCs w:val="14"/>
                <w:b w:val="1"/>
                <w:bCs w:val="1"/>
                <w:color w:val="FFFFFF"/>
              </w:rPr>
              <w:t>(%)</w:t>
            </w:r>
          </w:p>
        </w:tc>
      </w:tr>
      <w:tr>
        <w:trPr>
          <w:trHeight w:val="189"/>
        </w:trPr>
        <w:tc>
          <w:tcPr>
            <w:tcW w:w="5640" w:type="dxa"/>
            <w:vAlign w:val="bottom"/>
            <w:shd w:val="clear" w:color="auto" w:fill="A6C2D3"/>
          </w:tcPr>
          <w:p>
            <w:pPr>
              <w:spacing w:after="0"/>
              <w:rPr>
                <w:sz w:val="20"/>
                <w:szCs w:val="20"/>
                <w:color w:val="auto"/>
              </w:rPr>
            </w:pPr>
            <w:r>
              <w:rPr>
                <w:rFonts w:ascii="Arial" w:cs="Arial" w:eastAsia="Arial" w:hAnsi="Arial"/>
                <w:sz w:val="16"/>
                <w:szCs w:val="16"/>
                <w:b w:val="1"/>
                <w:bCs w:val="1"/>
                <w:color w:val="auto"/>
              </w:rPr>
              <w:t>5% Stockholders</w:t>
            </w:r>
          </w:p>
        </w:tc>
        <w:tc>
          <w:tcPr>
            <w:tcW w:w="1320" w:type="dxa"/>
            <w:vAlign w:val="bottom"/>
            <w:shd w:val="clear" w:color="auto" w:fill="A6C2D3"/>
          </w:tcPr>
          <w:p>
            <w:pPr>
              <w:spacing w:after="0"/>
              <w:rPr>
                <w:sz w:val="16"/>
                <w:szCs w:val="16"/>
                <w:color w:val="auto"/>
              </w:rPr>
            </w:pPr>
          </w:p>
        </w:tc>
        <w:tc>
          <w:tcPr>
            <w:tcW w:w="1460" w:type="dxa"/>
            <w:vAlign w:val="bottom"/>
            <w:shd w:val="clear" w:color="auto" w:fill="A6C2D3"/>
          </w:tcPr>
          <w:p>
            <w:pPr>
              <w:spacing w:after="0"/>
              <w:rPr>
                <w:sz w:val="16"/>
                <w:szCs w:val="16"/>
                <w:color w:val="auto"/>
              </w:rPr>
            </w:pP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Entities affiliated with RA Capital</w:t>
            </w:r>
            <w:r>
              <w:rPr>
                <w:rFonts w:ascii="Arial" w:cs="Arial" w:eastAsia="Arial" w:hAnsi="Arial"/>
                <w:sz w:val="21"/>
                <w:szCs w:val="21"/>
                <w:color w:val="auto"/>
                <w:vertAlign w:val="superscript"/>
              </w:rPr>
              <w:t>(1)</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10,860,977</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10.9</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Entities affiliated with OrbiMed</w:t>
            </w:r>
            <w:r>
              <w:rPr>
                <w:rFonts w:ascii="Arial" w:cs="Arial" w:eastAsia="Arial" w:hAnsi="Arial"/>
                <w:sz w:val="21"/>
                <w:szCs w:val="21"/>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6"/>
                <w:szCs w:val="16"/>
                <w:color w:val="auto"/>
              </w:rPr>
              <w:t>8,288,510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8.3</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Entities affiliated with Deerfield Management Company, L.P.</w:t>
            </w:r>
            <w:r>
              <w:rPr>
                <w:rFonts w:ascii="Arial" w:cs="Arial" w:eastAsia="Arial" w:hAnsi="Arial"/>
                <w:sz w:val="21"/>
                <w:szCs w:val="21"/>
                <w:color w:val="auto"/>
                <w:vertAlign w:val="superscript"/>
              </w:rPr>
              <w:t>(3)</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7,610,217</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7.7</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Entities affiliated with Rubric Capital Management LP</w:t>
            </w:r>
            <w:r>
              <w:rPr>
                <w:rFonts w:ascii="Arial" w:cs="Arial" w:eastAsia="Arial" w:hAnsi="Arial"/>
                <w:sz w:val="21"/>
                <w:szCs w:val="21"/>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6"/>
                <w:szCs w:val="16"/>
                <w:color w:val="auto"/>
              </w:rPr>
              <w:t>6,200,000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6.2</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Entities affiliated with Millennium Management LLC</w:t>
            </w:r>
            <w:r>
              <w:rPr>
                <w:rFonts w:ascii="Arial" w:cs="Arial" w:eastAsia="Arial" w:hAnsi="Arial"/>
                <w:sz w:val="21"/>
                <w:szCs w:val="21"/>
                <w:color w:val="auto"/>
                <w:vertAlign w:val="superscript"/>
              </w:rPr>
              <w:t>(5)</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5,916,030</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6.0</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1"/>
                <w:szCs w:val="21"/>
                <w:color w:val="auto"/>
                <w:vertAlign w:val="superscript"/>
              </w:rPr>
              <w:t>(6)</w:t>
            </w:r>
          </w:p>
        </w:tc>
        <w:tc>
          <w:tcPr>
            <w:tcW w:w="1320" w:type="dxa"/>
            <w:vAlign w:val="bottom"/>
          </w:tcPr>
          <w:p>
            <w:pPr>
              <w:jc w:val="right"/>
              <w:spacing w:after="0"/>
              <w:rPr>
                <w:sz w:val="20"/>
                <w:szCs w:val="20"/>
                <w:color w:val="auto"/>
              </w:rPr>
            </w:pPr>
            <w:r>
              <w:rPr>
                <w:rFonts w:ascii="Arial" w:cs="Arial" w:eastAsia="Arial" w:hAnsi="Arial"/>
                <w:sz w:val="16"/>
                <w:szCs w:val="16"/>
                <w:color w:val="auto"/>
              </w:rPr>
              <w:t>5,013,000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5.0</w:t>
            </w:r>
          </w:p>
        </w:tc>
      </w:tr>
      <w:tr>
        <w:trPr>
          <w:trHeight w:val="189"/>
        </w:trPr>
        <w:tc>
          <w:tcPr>
            <w:tcW w:w="5640" w:type="dxa"/>
            <w:vAlign w:val="bottom"/>
            <w:shd w:val="clear" w:color="auto" w:fill="A6C2D3"/>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1320" w:type="dxa"/>
            <w:vAlign w:val="bottom"/>
            <w:shd w:val="clear" w:color="auto" w:fill="A6C2D3"/>
          </w:tcPr>
          <w:p>
            <w:pPr>
              <w:spacing w:after="0"/>
              <w:rPr>
                <w:sz w:val="16"/>
                <w:szCs w:val="16"/>
                <w:color w:val="auto"/>
              </w:rPr>
            </w:pPr>
          </w:p>
        </w:tc>
        <w:tc>
          <w:tcPr>
            <w:tcW w:w="1460" w:type="dxa"/>
            <w:vAlign w:val="bottom"/>
            <w:shd w:val="clear" w:color="auto" w:fill="A6C2D3"/>
          </w:tcPr>
          <w:p>
            <w:pPr>
              <w:spacing w:after="0"/>
              <w:rPr>
                <w:sz w:val="16"/>
                <w:szCs w:val="16"/>
                <w:color w:val="auto"/>
              </w:rPr>
            </w:pP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Richard Lowenthal, M.S., MSEL</w:t>
            </w:r>
            <w:r>
              <w:rPr>
                <w:rFonts w:ascii="Arial" w:cs="Arial" w:eastAsia="Arial" w:hAnsi="Arial"/>
                <w:sz w:val="21"/>
                <w:szCs w:val="21"/>
                <w:color w:val="auto"/>
                <w:vertAlign w:val="superscript"/>
              </w:rPr>
              <w:t>(7)</w:t>
            </w:r>
          </w:p>
        </w:tc>
        <w:tc>
          <w:tcPr>
            <w:tcW w:w="1320" w:type="dxa"/>
            <w:vAlign w:val="bottom"/>
          </w:tcPr>
          <w:p>
            <w:pPr>
              <w:jc w:val="right"/>
              <w:spacing w:after="0"/>
              <w:rPr>
                <w:sz w:val="20"/>
                <w:szCs w:val="20"/>
                <w:color w:val="auto"/>
              </w:rPr>
            </w:pPr>
            <w:r>
              <w:rPr>
                <w:rFonts w:ascii="Arial" w:cs="Arial" w:eastAsia="Arial" w:hAnsi="Arial"/>
                <w:sz w:val="16"/>
                <w:szCs w:val="16"/>
                <w:color w:val="auto"/>
              </w:rPr>
              <w:t>12,086,868</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Sarina Tanimoto, M.D., M.B.A.</w:t>
            </w:r>
            <w:r>
              <w:rPr>
                <w:rFonts w:ascii="Arial" w:cs="Arial" w:eastAsia="Arial" w:hAnsi="Arial"/>
                <w:sz w:val="21"/>
                <w:szCs w:val="21"/>
                <w:color w:val="auto"/>
                <w:vertAlign w:val="superscript"/>
              </w:rPr>
              <w:t>(8)</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1,830,221</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1.8</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Justin Chakma</w:t>
            </w:r>
            <w:r>
              <w:rPr>
                <w:rFonts w:ascii="Arial" w:cs="Arial" w:eastAsia="Arial" w:hAnsi="Arial"/>
                <w:sz w:val="21"/>
                <w:szCs w:val="21"/>
                <w:color w:val="auto"/>
                <w:vertAlign w:val="superscript"/>
              </w:rPr>
              <w:t>(9)</w:t>
            </w:r>
          </w:p>
        </w:tc>
        <w:tc>
          <w:tcPr>
            <w:tcW w:w="1320" w:type="dxa"/>
            <w:vAlign w:val="bottom"/>
          </w:tcPr>
          <w:p>
            <w:pPr>
              <w:jc w:val="right"/>
              <w:spacing w:after="0"/>
              <w:rPr>
                <w:sz w:val="20"/>
                <w:szCs w:val="20"/>
                <w:color w:val="auto"/>
              </w:rPr>
            </w:pPr>
            <w:r>
              <w:rPr>
                <w:rFonts w:ascii="Arial" w:cs="Arial" w:eastAsia="Arial" w:hAnsi="Arial"/>
                <w:sz w:val="16"/>
                <w:szCs w:val="16"/>
                <w:color w:val="auto"/>
              </w:rPr>
              <w:t>597,540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Rajeev Dadoo, Ph.D.</w:t>
            </w:r>
            <w:r>
              <w:rPr>
                <w:rFonts w:ascii="Arial" w:cs="Arial" w:eastAsia="Arial" w:hAnsi="Arial"/>
                <w:sz w:val="21"/>
                <w:szCs w:val="21"/>
                <w:color w:val="auto"/>
                <w:vertAlign w:val="superscript"/>
              </w:rPr>
              <w:t>(10)</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80,000</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Saqib Islam, J.D.</w:t>
            </w:r>
            <w:r>
              <w:rPr>
                <w:rFonts w:ascii="Arial" w:cs="Arial" w:eastAsia="Arial" w:hAnsi="Arial"/>
                <w:sz w:val="21"/>
                <w:szCs w:val="21"/>
                <w:color w:val="auto"/>
                <w:vertAlign w:val="superscript"/>
              </w:rPr>
              <w:t>(11)</w:t>
            </w:r>
          </w:p>
        </w:tc>
        <w:tc>
          <w:tcPr>
            <w:tcW w:w="1320" w:type="dxa"/>
            <w:vAlign w:val="bottom"/>
          </w:tcPr>
          <w:p>
            <w:pPr>
              <w:jc w:val="right"/>
              <w:spacing w:after="0"/>
              <w:rPr>
                <w:sz w:val="20"/>
                <w:szCs w:val="20"/>
                <w:color w:val="auto"/>
              </w:rPr>
            </w:pPr>
            <w:r>
              <w:rPr>
                <w:rFonts w:ascii="Arial" w:cs="Arial" w:eastAsia="Arial" w:hAnsi="Arial"/>
                <w:sz w:val="16"/>
                <w:szCs w:val="16"/>
                <w:color w:val="auto"/>
              </w:rPr>
              <w:t>248,687</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Michael Kelly</w:t>
            </w:r>
            <w:r>
              <w:rPr>
                <w:rFonts w:ascii="Arial" w:cs="Arial" w:eastAsia="Arial" w:hAnsi="Arial"/>
                <w:sz w:val="21"/>
                <w:szCs w:val="21"/>
                <w:color w:val="auto"/>
                <w:vertAlign w:val="superscript"/>
              </w:rPr>
              <w:t>(12)</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351,837</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Peter Kolchinsky, Ph.D.</w:t>
            </w:r>
            <w:r>
              <w:rPr>
                <w:rFonts w:ascii="Arial" w:cs="Arial" w:eastAsia="Arial" w:hAnsi="Arial"/>
                <w:sz w:val="21"/>
                <w:szCs w:val="21"/>
                <w:color w:val="auto"/>
                <w:vertAlign w:val="superscript"/>
              </w:rPr>
              <w:t>(13)</w:t>
            </w:r>
          </w:p>
        </w:tc>
        <w:tc>
          <w:tcPr>
            <w:tcW w:w="1320" w:type="dxa"/>
            <w:vAlign w:val="bottom"/>
          </w:tcPr>
          <w:p>
            <w:pPr>
              <w:jc w:val="right"/>
              <w:spacing w:after="0"/>
              <w:rPr>
                <w:sz w:val="20"/>
                <w:szCs w:val="20"/>
                <w:color w:val="auto"/>
              </w:rPr>
            </w:pPr>
            <w:r>
              <w:rPr>
                <w:rFonts w:ascii="Arial" w:cs="Arial" w:eastAsia="Arial" w:hAnsi="Arial"/>
                <w:sz w:val="16"/>
                <w:szCs w:val="16"/>
                <w:color w:val="auto"/>
              </w:rPr>
              <w:t>10,940,977</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11.0</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Brenton L. Saunders</w:t>
            </w:r>
            <w:r>
              <w:rPr>
                <w:rFonts w:ascii="Arial" w:cs="Arial" w:eastAsia="Arial" w:hAnsi="Arial"/>
                <w:sz w:val="21"/>
                <w:szCs w:val="21"/>
                <w:color w:val="auto"/>
                <w:vertAlign w:val="superscript"/>
              </w:rPr>
              <w:t>(14)</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704,597</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Phillip Schneider</w:t>
            </w:r>
            <w:r>
              <w:rPr>
                <w:rFonts w:ascii="Arial" w:cs="Arial" w:eastAsia="Arial" w:hAnsi="Arial"/>
                <w:sz w:val="21"/>
                <w:szCs w:val="21"/>
                <w:color w:val="auto"/>
                <w:vertAlign w:val="superscript"/>
              </w:rPr>
              <w:t>(15)</w:t>
            </w:r>
          </w:p>
        </w:tc>
        <w:tc>
          <w:tcPr>
            <w:tcW w:w="1320" w:type="dxa"/>
            <w:vAlign w:val="bottom"/>
          </w:tcPr>
          <w:p>
            <w:pPr>
              <w:jc w:val="right"/>
              <w:spacing w:after="0"/>
              <w:rPr>
                <w:sz w:val="20"/>
                <w:szCs w:val="20"/>
                <w:color w:val="auto"/>
              </w:rPr>
            </w:pPr>
            <w:r>
              <w:rPr>
                <w:rFonts w:ascii="Arial" w:cs="Arial" w:eastAsia="Arial" w:hAnsi="Arial"/>
                <w:sz w:val="16"/>
                <w:szCs w:val="16"/>
                <w:color w:val="auto"/>
              </w:rPr>
              <w:t>310,470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Pratik Shah, Ph.D.</w:t>
            </w:r>
            <w:r>
              <w:rPr>
                <w:rFonts w:ascii="Arial" w:cs="Arial" w:eastAsia="Arial" w:hAnsi="Arial"/>
                <w:sz w:val="21"/>
                <w:szCs w:val="21"/>
                <w:color w:val="auto"/>
                <w:vertAlign w:val="superscript"/>
              </w:rPr>
              <w:t>(16)</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4,909,124</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4.9</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6"/>
                <w:szCs w:val="16"/>
                <w:color w:val="auto"/>
              </w:rPr>
              <w:t>Laura Shawver, Ph.D.</w:t>
            </w:r>
            <w:r>
              <w:rPr>
                <w:rFonts w:ascii="Arial" w:cs="Arial" w:eastAsia="Arial" w:hAnsi="Arial"/>
                <w:sz w:val="21"/>
                <w:szCs w:val="21"/>
                <w:color w:val="auto"/>
                <w:vertAlign w:val="superscript"/>
              </w:rPr>
              <w:t>(17)</w:t>
            </w:r>
          </w:p>
        </w:tc>
        <w:tc>
          <w:tcPr>
            <w:tcW w:w="1320" w:type="dxa"/>
            <w:vAlign w:val="bottom"/>
          </w:tcPr>
          <w:p>
            <w:pPr>
              <w:jc w:val="right"/>
              <w:spacing w:after="0"/>
              <w:rPr>
                <w:sz w:val="20"/>
                <w:szCs w:val="20"/>
                <w:color w:val="auto"/>
              </w:rPr>
            </w:pPr>
            <w:r>
              <w:rPr>
                <w:rFonts w:ascii="Arial" w:cs="Arial" w:eastAsia="Arial" w:hAnsi="Arial"/>
                <w:sz w:val="16"/>
                <w:szCs w:val="16"/>
                <w:color w:val="auto"/>
              </w:rPr>
              <w:t>1,203,731</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1.2</w:t>
            </w:r>
          </w:p>
        </w:tc>
      </w:tr>
      <w:tr>
        <w:trPr>
          <w:trHeight w:val="189"/>
        </w:trPr>
        <w:tc>
          <w:tcPr>
            <w:tcW w:w="5640" w:type="dxa"/>
            <w:vAlign w:val="bottom"/>
            <w:shd w:val="clear" w:color="auto" w:fill="E4EDF1"/>
          </w:tcPr>
          <w:p>
            <w:pPr>
              <w:spacing w:after="0" w:line="189" w:lineRule="exact"/>
              <w:rPr>
                <w:sz w:val="20"/>
                <w:szCs w:val="20"/>
                <w:color w:val="auto"/>
              </w:rPr>
            </w:pPr>
            <w:r>
              <w:rPr>
                <w:rFonts w:ascii="Arial" w:cs="Arial" w:eastAsia="Arial" w:hAnsi="Arial"/>
                <w:sz w:val="16"/>
                <w:szCs w:val="16"/>
                <w:color w:val="auto"/>
              </w:rPr>
              <w:t>Peter A Thompson, M.D.</w:t>
            </w:r>
            <w:r>
              <w:rPr>
                <w:rFonts w:ascii="Arial" w:cs="Arial" w:eastAsia="Arial" w:hAnsi="Arial"/>
                <w:sz w:val="21"/>
                <w:szCs w:val="21"/>
                <w:color w:val="auto"/>
                <w:vertAlign w:val="superscript"/>
              </w:rPr>
              <w:t>(18)</w:t>
            </w:r>
          </w:p>
        </w:tc>
        <w:tc>
          <w:tcPr>
            <w:tcW w:w="1320" w:type="dxa"/>
            <w:vAlign w:val="bottom"/>
            <w:shd w:val="clear" w:color="auto" w:fill="E4EDF1"/>
          </w:tcPr>
          <w:p>
            <w:pPr>
              <w:jc w:val="right"/>
              <w:spacing w:after="0"/>
              <w:rPr>
                <w:sz w:val="20"/>
                <w:szCs w:val="20"/>
                <w:color w:val="auto"/>
              </w:rPr>
            </w:pPr>
            <w:r>
              <w:rPr>
                <w:rFonts w:ascii="Arial" w:cs="Arial" w:eastAsia="Arial" w:hAnsi="Arial"/>
                <w:sz w:val="16"/>
                <w:szCs w:val="16"/>
                <w:color w:val="auto"/>
              </w:rPr>
              <w:t>151,270</w:t>
            </w:r>
          </w:p>
        </w:tc>
        <w:tc>
          <w:tcPr>
            <w:tcW w:w="1460" w:type="dxa"/>
            <w:vAlign w:val="bottom"/>
            <w:shd w:val="clear" w:color="auto" w:fill="E4EDF1"/>
          </w:tcPr>
          <w:p>
            <w:pPr>
              <w:jc w:val="right"/>
              <w:ind w:right="21"/>
              <w:spacing w:after="0"/>
              <w:rPr>
                <w:sz w:val="20"/>
                <w:szCs w:val="20"/>
                <w:color w:val="auto"/>
              </w:rPr>
            </w:pPr>
            <w:r>
              <w:rPr>
                <w:rFonts w:ascii="Arial" w:cs="Arial" w:eastAsia="Arial" w:hAnsi="Arial"/>
                <w:sz w:val="16"/>
                <w:szCs w:val="16"/>
                <w:color w:val="auto"/>
              </w:rPr>
              <w:t>*</w:t>
            </w:r>
          </w:p>
        </w:tc>
      </w:tr>
      <w:tr>
        <w:trPr>
          <w:trHeight w:val="296"/>
        </w:trPr>
        <w:tc>
          <w:tcPr>
            <w:tcW w:w="5640" w:type="dxa"/>
            <w:vAlign w:val="bottom"/>
          </w:tcPr>
          <w:p>
            <w:pPr>
              <w:spacing w:after="0"/>
              <w:rPr>
                <w:sz w:val="20"/>
                <w:szCs w:val="20"/>
                <w:color w:val="auto"/>
              </w:rPr>
            </w:pPr>
            <w:r>
              <w:rPr>
                <w:rFonts w:ascii="Arial" w:cs="Arial" w:eastAsia="Arial" w:hAnsi="Arial"/>
                <w:sz w:val="16"/>
                <w:szCs w:val="16"/>
                <w:b w:val="1"/>
                <w:bCs w:val="1"/>
                <w:color w:val="auto"/>
              </w:rPr>
              <w:t>All current executive officers and directors as a group (16 persons)</w:t>
            </w:r>
            <w:r>
              <w:rPr>
                <w:rFonts w:ascii="Arial" w:cs="Arial" w:eastAsia="Arial" w:hAnsi="Arial"/>
                <w:sz w:val="21"/>
                <w:szCs w:val="21"/>
                <w:b w:val="1"/>
                <w:bCs w:val="1"/>
                <w:color w:val="auto"/>
                <w:vertAlign w:val="superscript"/>
              </w:rPr>
              <w:t>(19)</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36,942,334</w:t>
            </w:r>
          </w:p>
        </w:tc>
        <w:tc>
          <w:tcPr>
            <w:tcW w:w="1460" w:type="dxa"/>
            <w:vAlign w:val="bottom"/>
          </w:tcPr>
          <w:p>
            <w:pPr>
              <w:jc w:val="right"/>
              <w:ind w:right="21"/>
              <w:spacing w:after="0"/>
              <w:rPr>
                <w:sz w:val="20"/>
                <w:szCs w:val="20"/>
                <w:color w:val="auto"/>
              </w:rPr>
            </w:pPr>
            <w:r>
              <w:rPr>
                <w:rFonts w:ascii="Arial" w:cs="Arial" w:eastAsia="Arial" w:hAnsi="Arial"/>
                <w:sz w:val="16"/>
                <w:szCs w:val="16"/>
                <w:b w:val="1"/>
                <w:bCs w:val="1"/>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34925</wp:posOffset>
            </wp:positionV>
            <wp:extent cx="12344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7" w:lineRule="exact"/>
        <w:rPr>
          <w:sz w:val="20"/>
          <w:szCs w:val="20"/>
          <w:color w:val="auto"/>
        </w:rPr>
      </w:pPr>
    </w:p>
    <w:p>
      <w:pPr>
        <w:ind w:left="740" w:hanging="448"/>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4"/>
          <w:szCs w:val="14"/>
          <w:color w:val="auto"/>
        </w:rPr>
        <w:t>Beneficial ownership is determined in accordance with SEC rules and includes any shares as to which the stockholder has sole or shared voting power or investment power as well as any shares that the stockholder has the right to acquire within 60 days of March 31, 2026, whether through the exercise, settlement or conversion of any stock option, restricted stock units, convertible security, warrant or other right. The indication herein that shares are beneficially owned is not an admission on the part of the stockholder that he, she or it is a direct or indirect beneficial owner of those shares.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jc w:val="both"/>
        <w:ind w:left="740" w:right="299" w:hanging="448"/>
        <w:spacing w:after="0" w:line="243"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9,958,073 shares of common stock directly held by the RA Capital Healthcare Fund, L.P. (“RA Capital Healthcare”) and (ii) 902,904 shares of common stock directly held by the RA Capital Nexus Fund II, L.P (“Nexus Fund II”). RA Capital Healthcare Fund GP, LLC is the general partner of RA Capital Healthcare and RA Capital Nexus Fund II GP, LLC is the general partner of Nexus Fund II. The general partner of RA Capital is RA Capital Management GP, LLC, of which Dr. Kolchinsky and Mr. Shah are the controlling persons. RA Capital serves as investment adviser for each of RA Capital Healthcare and Nexus Fund II and may be deemed a beneficial owner, for purposes of Section 13(d) of the Exchange Act, of any securities of the Issuer held by the Fund or the Nexus Fund II. Each of RA Capital Healthcare and Nexus Fund II has delegated to RA Capital the sole power to vote and the sole power to dispose of all securities held in its portfolio, including the shares of the Issuer’s Common Stock reported herein. Because each of RA Capital Healthcare and Nexus Fund II has divested itself of voting and investment power over the reported securities it holds and may not revoke that delegation on less than 61 days’ notice, each of RA Capital Healthcare and Nexus Fund II do not beneficially own the securities it holds for purposes of Section 13(d) of the Exchange Act. As managers of RA Capital, Dr. Kolchinsky and Mr. Shah may be deemed beneficial owners, for purposes of Section 13(d) of the Exchange Act, of any securities of ARS Pharma beneficially owned by RA Capital. RA Capital, Dr. Kolchinsky, and Mr. Shah disclaim beneficial ownership of the securities reported in the Schedule 13D/A filed with SEC on March 29, 2024, other than for the purpose of determining their obligations under Section 13(d) of the Exchange Act, and the filing of the Schedule 13D/A shall not be deemed an admission that either RA Capital, Dr. Kolchinsky, or Mr. Shah is the beneficial owner of such securities for any other purpose. The address of the principal business office of each of entities affiliated with RA Capital is 200 Berkeley Street, 18th Floor, Boston, MA 02116. This information is based on a Schedule 13D/A filed with the SEC on October 1, 2025, reporting holdings as of September 29, 2025.</w:t>
      </w:r>
    </w:p>
    <w:p>
      <w:pPr>
        <w:spacing w:after="0" w:line="196" w:lineRule="exact"/>
        <w:rPr>
          <w:rFonts w:ascii="Arial" w:cs="Arial" w:eastAsia="Arial" w:hAnsi="Arial"/>
          <w:sz w:val="14"/>
          <w:szCs w:val="14"/>
          <w:color w:val="auto"/>
        </w:rPr>
      </w:pPr>
    </w:p>
    <w:p>
      <w:pPr>
        <w:jc w:val="both"/>
        <w:ind w:left="740" w:right="299" w:hanging="448"/>
        <w:spacing w:after="0" w:line="245"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8,019,187 shares of common stock held by OrbiMed Private Investments VI, LP (“OPI VI”), (ii) 269,323 shares of common stock held by OPI VI – IP Holdco LLC (“HoldCo”), and (iii) the shares described in footnote (18) below. OrbiMed Capital GP VI LLC (“GP VI”) is the general partner of OPI VI and the sole member of OrbiMed Private Investments VI - IP, LP, which is the sole member of OPI VI - IP TopCo LLC, which is the sole member of HoldCo. OrbiMed is the managing member of GP VI. By virtue of such relationships, GP VI and OrbiMed may be deemed to have voting power and investment power over the securities held by OPI VI and HoldCo, and, as a result, may be deemed to have beneficial ownership over such securities. OrbiMed exercises voting and investment power through a management committee comprised of Carl L. Gordon, Sven H. Borho, and W. Carter Neild, each of whom disclaims beneficial ownership of the securities held by OPI VI and HoldCo. Peter A. Thompson, a member of OrbiMed, is a member of the Company's Board of Directors. Each of GP VI, OrbiMed, the members of the management committee of OrbiMed, and Dr. Thompson disclaims beneficial ownership of the shares held by OPI VI and HoldCo, except to the extent of its or his pecuniary interest therein if any, and except for purposes of determining his obligations under Section 13(d) of the Exchange Act. The address for each of these entities is c/o OrbiMed Advisors LLC, 601 Lexington Avenue, 54th Floor, New York, New York 10022.</w:t>
      </w:r>
    </w:p>
    <w:p>
      <w:pPr>
        <w:spacing w:after="0" w:line="23" w:lineRule="exact"/>
        <w:rPr>
          <w:rFonts w:ascii="Arial" w:cs="Arial" w:eastAsia="Arial" w:hAnsi="Arial"/>
          <w:sz w:val="14"/>
          <w:szCs w:val="14"/>
          <w:color w:val="auto"/>
        </w:rPr>
      </w:pPr>
    </w:p>
    <w:p>
      <w:pPr>
        <w:jc w:val="both"/>
        <w:ind w:left="740" w:right="299" w:hanging="448"/>
        <w:spacing w:after="0" w:line="245"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3,805,108 shares of common stock held by Deerfield Private Design Fund III, L.P. (“Deerfield PDF III”) and (ii) 3,805,109 shares of common stock held by Deerfield Private Design Fund IV, L.P. (“Deerfield PDF IV”). Deerfield Mgmt III, L.P. (“Deerfield Mgmt III”) is the general partner of Deerfield PDF III, and Deerfield Mgmt IV, L.P. (“Deerfield Mgmt IV”) is the general partner of Deerfield PDF IV. Deerfield Management Company, L.P. (“Deerfield Management”) is the investment manager of each of the Deerfield PDF III and Deerfield PDF IV, and as a result may be deemed to have beneficial ownership of such shares. James E. Flynn is the managing member of the general partner of each of Deerfield Mgmt III, Deerfield Mgmt IV and Deerfield Management, and as a result may be deemed to have beneficial ownership of such shares. Each of Mr. Flynn and the entities listed in this footnote (collectively, the “Deerfield Entities”) has shared voting and investment control over the shares held or beneficially owned by such person or entity. The address of Mr. Flynn and the Deerfield Entities is 345 Park Avenue, 12th Floor, New York, New York 10010. This information is based on a Schedule 13D/A filed with the SEC on August 1, 2025, reporting holdings as of July 30, 2025.</w:t>
      </w:r>
    </w:p>
    <w:p>
      <w:pPr>
        <w:spacing w:after="0" w:line="28" w:lineRule="exact"/>
        <w:rPr>
          <w:rFonts w:ascii="Arial" w:cs="Arial" w:eastAsia="Arial" w:hAnsi="Arial"/>
          <w:sz w:val="14"/>
          <w:szCs w:val="14"/>
          <w:color w:val="auto"/>
        </w:rPr>
      </w:pPr>
    </w:p>
    <w:p>
      <w:pPr>
        <w:jc w:val="both"/>
        <w:ind w:left="740" w:right="299" w:hanging="448"/>
        <w:spacing w:after="0" w:line="248"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6,200,000 shares of common stock held by Rubric Capital Management LP. Rubric Capital Management LP is the investment adviser to certain investments funds and/or accounts (the “Rubric Funds”) and may be deemed to be the beneficial owner of shares held by the Rubric Funds. David Rosen is the managing member of Rubric Capital Management GP LLC, which is the general partner of Rubric Capital Management LP, and may be deemed to be the beneficial owner of shares held by Rubric Capital Management LP. The address of the above-referenced entities and persons is 155 East 44th Street, Suite 1630, New York, NY 10017. This information is based on a Schedule 13G filed on February 13, 2026, reporting holdings as of December 31, 2025.</w:t>
      </w:r>
    </w:p>
    <w:p>
      <w:pPr>
        <w:spacing w:after="0" w:line="23" w:lineRule="exact"/>
        <w:rPr>
          <w:rFonts w:ascii="Arial" w:cs="Arial" w:eastAsia="Arial" w:hAnsi="Arial"/>
          <w:sz w:val="14"/>
          <w:szCs w:val="14"/>
          <w:color w:val="auto"/>
        </w:rPr>
      </w:pPr>
    </w:p>
    <w:p>
      <w:pPr>
        <w:jc w:val="both"/>
        <w:ind w:left="740" w:right="299" w:hanging="448"/>
        <w:spacing w:after="0" w:line="246"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5,194,497 shares of common stock which Integrated Core Strategies (US) LLC has shared voting power and shared dispositive power over and (ii) 5,916,030 shares of common stock which Millennium Management LLC, Millennium Group Management LLC and Israel A. Englander have shared voting power and shared dispositive power over. The securities disclosed as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address of Integrated Core Strategies (US) LLC, Millennium Management LLC, Millennium Group Management LLC and Israel A. Englander is 399 Park Avenue, New York, NY 10022. This information is based on a Schedule 13G/A filed on March 31, 2026, reporting holdings as of March 27, 2026.</w:t>
      </w:r>
    </w:p>
    <w:p>
      <w:pPr>
        <w:spacing w:after="0" w:line="23" w:lineRule="exact"/>
        <w:rPr>
          <w:rFonts w:ascii="Arial" w:cs="Arial" w:eastAsia="Arial" w:hAnsi="Arial"/>
          <w:sz w:val="14"/>
          <w:szCs w:val="14"/>
          <w:color w:val="auto"/>
        </w:rPr>
      </w:pPr>
    </w:p>
    <w:p>
      <w:pPr>
        <w:jc w:val="both"/>
        <w:ind w:left="740" w:right="299" w:hanging="448"/>
        <w:spacing w:after="0" w:line="253" w:lineRule="auto"/>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5,013,000 shares of common stock held by BlackRock, Inc. and certain related entities. BlackRock, Inc. reported sole power to vote or direct the vote over 4,929,603 shares of common stock and sole power to dispose or direct the disposition of 5,013,000 shares of common stock. The address of the above referenced entities is 50 Hudson Yards, New York, NY 10001. This information is based on a Schedule 13G filed on January 21, 2026, reporting holdings as of December 31,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6" w:right="1440" w:bottom="1440" w:gutter="0" w:footer="0" w:header="0"/>
        </w:sectPr>
      </w:pPr>
    </w:p>
    <w:bookmarkStart w:id="62" w:name="page63"/>
    <w:bookmarkEnd w:id="62"/>
    <w:p>
      <w:pPr>
        <w:jc w:val="both"/>
        <w:ind w:left="740" w:right="299" w:hanging="448"/>
        <w:spacing w:after="0" w:line="246"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1,196,494 shares of common stock held by the Richard E. Lowenthal Charitable Remainder Unitrust Dated January 7, 2020 (“Lowenthal Charitable Trust”), (ii) 8,859,200 shares of common stock held by the Lowenthal-Tanimoto Family Trust U/A DTD 4/3/2006 ("Lowenthal-Tanimoto Trust") and (iii) 2,031,174 shares of common stock that Mr. Lowenthal has the right to acquire from us within 60 days of March 31, 2026 pursuant to the exercise of stock options. Mr. Lowenthal is the trustee of the Lowenthal Charitable Trust and in such capacity has the sole power to vote and dispose of the shares held by such trust. Mr. Lowenthal and Dr. Tanimoto are trustees of the Lowenthal-Tanimoto Trust and may be deemed to have shared power to vote and dispose of the shares held by such trust. Dr. Tanimoto is Mr. Lowenthal’s spouse, and as such, she may be deemed to have shared voting and investment control over the shares beneficially owned by Mr. Lowenthal. The shares, however, do not include the shares set forth in footnote (8) below.</w:t>
      </w:r>
    </w:p>
    <w:p>
      <w:pPr>
        <w:spacing w:after="0" w:line="26" w:lineRule="exact"/>
        <w:rPr>
          <w:rFonts w:ascii="Arial" w:cs="Arial" w:eastAsia="Arial" w:hAnsi="Arial"/>
          <w:sz w:val="14"/>
          <w:szCs w:val="14"/>
          <w:color w:val="auto"/>
        </w:rPr>
      </w:pPr>
    </w:p>
    <w:p>
      <w:pPr>
        <w:jc w:val="both"/>
        <w:ind w:left="740" w:right="299" w:hanging="448"/>
        <w:spacing w:after="0" w:line="247"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1,247,447 shares of common stock held by the Sarina Tanimoto Charitable Remainder Unitrust Dated January 7, 2020 (“Tanimoto Charitable Trust”), and (ii) 582,774 shares of common stock that Dr. Tanimoto has the right to acquire from us within 60 days of March 31, 2026 pursuant to the exercise of stock options. Dr. Tanimoto is the trustee of the Tanimoto Charitable Trust and in such capacity has the sole power to vote and dispose of the shares held by such trust. Mr. Lowenthal and Dr. Tanimoto are trustees of the Lowenthal-Tanimoto Trust and may be deemed to have shared power to vote and dispose of the shares held by such trust. Mr. Lowenthal is Dr. Tanimoto’s spouse, and as such, he may be deemed to have shared voting and investment control over the shares beneficially owned by Dr. Tanimoto. The shares, however, do not include the shares set forth in footnote (7) above.</w:t>
      </w:r>
    </w:p>
    <w:p>
      <w:pPr>
        <w:spacing w:after="0" w:line="24"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597,540 shares of common stock that Mr. Chakma has a right to acquire from us within 60 days of March 31, 2026 pursuant to the exercise of stock options.</w:t>
      </w:r>
    </w:p>
    <w:p>
      <w:pPr>
        <w:spacing w:after="0" w:line="1"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80,000 shares of common stock that Dr. Dadoo has a right to acquire from us within 60 days of March 31, 2026 pursuant to the exercise of stock options.</w:t>
      </w:r>
    </w:p>
    <w:p>
      <w:pPr>
        <w:spacing w:after="0" w:line="1"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15,239 shares of common stock held by Mr. Islam and (ii) 233,448 shares of common stock that Mr. Islam has a right to acquire from us within 60 days of March 31, 2026 pursuant to the exercise of stock options.</w:t>
      </w:r>
    </w:p>
    <w:p>
      <w:pPr>
        <w:spacing w:after="0" w:line="1" w:lineRule="exact"/>
        <w:rPr>
          <w:rFonts w:ascii="Arial" w:cs="Arial" w:eastAsia="Arial" w:hAnsi="Arial"/>
          <w:sz w:val="14"/>
          <w:szCs w:val="14"/>
          <w:color w:val="auto"/>
        </w:rPr>
      </w:pPr>
    </w:p>
    <w:p>
      <w:pPr>
        <w:jc w:val="both"/>
        <w:ind w:left="740" w:right="299" w:hanging="448"/>
        <w:spacing w:after="0" w:line="250"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83,225 shares of common stock held by The 2019 Michael Kelly Irrevocable Deed of Trust and (ii) 268,612 shares of common stock that Mr. Kelly has the right to acquire from us within 60 days of March 31, 2026 pursuant to the exercise of stock options. Joan C. Kelly is the trustee of The 2019 Michael Kelly Irrevocable Deed of Trust and in such capacity has the sole power to vote and dispose of the shares held by such trust. Mrs. Kelly is Mr. Kelly’s spouse and Mr. Kelly may be deemed to share voting and dispositive power over the shares held by The 2019 Michael Kelly Irrevocable Deed of Trust.</w:t>
      </w:r>
    </w:p>
    <w:p>
      <w:pPr>
        <w:spacing w:after="0" w:line="187"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the shares described in footnote (1) above and (ii) 80,000 shares of common stock that Dr. Kolchinsky has the right to acquire from us within 60 days of March 31, 2026 pursuant to the exercise of stock options.</w:t>
      </w:r>
    </w:p>
    <w:p>
      <w:pPr>
        <w:spacing w:after="0" w:line="1" w:lineRule="exact"/>
        <w:rPr>
          <w:rFonts w:ascii="Arial" w:cs="Arial" w:eastAsia="Arial" w:hAnsi="Arial"/>
          <w:sz w:val="14"/>
          <w:szCs w:val="14"/>
          <w:color w:val="auto"/>
        </w:rPr>
      </w:pPr>
    </w:p>
    <w:p>
      <w:pPr>
        <w:ind w:left="740" w:right="31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704,597 shares of common stock that Mr. Saunders has the right to acquire from us within 60 days of March 31, 2026 pursuant to the exercise of stock options.</w:t>
      </w:r>
    </w:p>
    <w:p>
      <w:pPr>
        <w:spacing w:after="0" w:line="1"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310,470 shares of common stock that Mr. Schneider has the right to acquire from us within 60 days of March 31, 2026 pursuant to the exercise of stock options.</w:t>
      </w:r>
    </w:p>
    <w:p>
      <w:pPr>
        <w:spacing w:after="0" w:line="1" w:lineRule="exact"/>
        <w:rPr>
          <w:rFonts w:ascii="Arial" w:cs="Arial" w:eastAsia="Arial" w:hAnsi="Arial"/>
          <w:sz w:val="14"/>
          <w:szCs w:val="14"/>
          <w:color w:val="auto"/>
        </w:rPr>
      </w:pPr>
    </w:p>
    <w:p>
      <w:pPr>
        <w:jc w:val="both"/>
        <w:ind w:left="740" w:right="299" w:hanging="448"/>
        <w:spacing w:after="0" w:line="252"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4,474,554 shares of common stock held by The Pratik Shah Living Trust dated June 15, 2011 (“Shah Trust”) and (ii) 434,570 shares of common stock that Dr. Shah has the right to acquire from us within 60 days of March 31, 2026 pursuant to the exercise of stock options. Pratik Shah, Ph.D. is the trustee of the Shah Trust and in such capacity has the sole power to vote and dispose of the shares held by such trust. The address for the Shah Trust is 6005 Hidden Valley Road, Suite 110, Carlsbad, CA 92011.</w:t>
      </w:r>
    </w:p>
    <w:p>
      <w:pPr>
        <w:spacing w:after="0" w:line="18" w:lineRule="exact"/>
        <w:rPr>
          <w:rFonts w:ascii="Arial" w:cs="Arial" w:eastAsia="Arial" w:hAnsi="Arial"/>
          <w:sz w:val="14"/>
          <w:szCs w:val="14"/>
          <w:color w:val="auto"/>
        </w:rPr>
      </w:pPr>
    </w:p>
    <w:p>
      <w:pPr>
        <w:ind w:left="740" w:right="29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210,346 shares of common stock held by Dr. Shawver and (ii) 993,385 shares of common stock that Dr. Shawver has the right to acquire from us within 60 days of March 31, 2026 pursuant to the exercise of stock options.</w:t>
      </w:r>
    </w:p>
    <w:p>
      <w:pPr>
        <w:spacing w:after="0" w:line="1" w:lineRule="exact"/>
        <w:rPr>
          <w:rFonts w:ascii="Arial" w:cs="Arial" w:eastAsia="Arial" w:hAnsi="Arial"/>
          <w:sz w:val="14"/>
          <w:szCs w:val="14"/>
          <w:color w:val="auto"/>
        </w:rPr>
      </w:pPr>
    </w:p>
    <w:p>
      <w:pPr>
        <w:ind w:left="740" w:right="319" w:hanging="448"/>
        <w:spacing w:after="0" w:line="281"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151,270 shares of common stock that Dr. Thompson has the right to acquire from us within 60 days of March 31, 2026 pursuant to the exercise of stock options.</w:t>
      </w:r>
    </w:p>
    <w:p>
      <w:pPr>
        <w:spacing w:after="0" w:line="1"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the shares described in footnotes (7) through (18) above and (ii) the following shares of common stock beneficially owned by our other current executive officers (which includes Mr. Dorsey, Mr. Fitzpatrick, Mr. Karas, and Ms. Scott) in the aggregate: (i) 138,752 shares of common stock and (ii) 3,388,260 shares of common stock that may be acquired within 60 days of March 31, 2026 pursuant to the exercise of options.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6" w:right="1440" w:bottom="1440" w:gutter="0" w:footer="0" w:header="0"/>
        </w:sectPr>
      </w:pPr>
    </w:p>
    <w:bookmarkStart w:id="63" w:name="page64"/>
    <w:bookmarkEnd w:id="63"/>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Certain Related-Person Transactions</w:t>
      </w:r>
    </w:p>
    <w:p>
      <w:pPr>
        <w:spacing w:after="0" w:line="237"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The following includes a summary of transactions since January 1, 2025 and any currently proposed transactions, to which we were a participant, in which (i) the amount involved exceeded or will exceed the lesser of $120,000 or one percent of the average of our total assets at year end for the last two completed fiscal years;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in the sections above titled “Executive Compensation” or “Director Compensation” or that would have been described in the “Executive Compensation” section had the executive officer been a named executive officer.</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Consulting Arrangements</w:t>
      </w:r>
    </w:p>
    <w:p>
      <w:pPr>
        <w:spacing w:after="0" w:line="123"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In September 2018, Private ARS Pharma entered into a consulting agreement (the “Marlinspike Consulting Agreement”) with Marlinspike Group, LLC (“Marlinspike”). Dr. Shah, who served as the chair of Private ARS Pharma’s board of directors prior to the November 2022 merger and currently serves as our Chair, is the President of Marlinspike, which provides management and business consulting services as well as business development support to us for a monthly fee of $20,000. Mr. Chakma, our Chief Business Officer is a consultant at Marlinspike. The Marlinspike Consulting Agreement had an initial term of one year from the effective date and automatically renews for one-month terms. The Marlinspike Consulting Agreement may be terminated by either party upon 14 days’ prior written notice. For each of the years ended December 31, 2024 and 2025, we incurred aggregate fees of $240,000 to Marlinspike pursuant to the Marlinspike Consulting Agreement. For the three months ended March 31, 2026, we incurred aggregate fees of $60,000 to Marlinspike pursuant to the Marlinspike Consulting Agreement.</w:t>
      </w:r>
    </w:p>
    <w:p>
      <w:pPr>
        <w:spacing w:after="0" w:line="186" w:lineRule="exact"/>
        <w:rPr>
          <w:sz w:val="20"/>
          <w:szCs w:val="20"/>
          <w:color w:val="auto"/>
        </w:rPr>
      </w:pPr>
    </w:p>
    <w:p>
      <w:pPr>
        <w:jc w:val="both"/>
        <w:ind w:left="300" w:right="299" w:firstLine="441"/>
        <w:spacing w:after="0" w:line="237" w:lineRule="auto"/>
        <w:rPr>
          <w:sz w:val="20"/>
          <w:szCs w:val="20"/>
          <w:color w:val="auto"/>
        </w:rPr>
      </w:pPr>
      <w:r>
        <w:rPr>
          <w:rFonts w:ascii="Arial" w:cs="Arial" w:eastAsia="Arial" w:hAnsi="Arial"/>
          <w:sz w:val="18"/>
          <w:szCs w:val="18"/>
          <w:color w:val="auto"/>
        </w:rPr>
        <w:t>In September 2015, Private ARS Pharma entered into a consulting agreement (the “2015 PLC Consulting Agreement”) with Pacific-Link Consulting LLC (“PLC”). Mr. Lowenthal, our President and Chief Executive Officer and member of our Board of Directors, and Dr. Tanimoto, our Chief Medical Officer, are the owners of PLC, which provides general advice and assistance to us with respect to the development of current and future drug products. In addition, Sarah Lowenthal, the daughter of Mr. Lowenthal and Dr. Tanimoto, is employed by PLC. Private ARS Pharma incurred aggregate fees of approximately $1.1 million to PLC for the year ended December 31, 2021 pursuant to the 2015 PLC Consulting Agreement. On July 1, 2022, Private ARS Pharma entered into a revised consulting agreement with PLC (the “2022 PLC Consulting Agreement”) that superseded the 2015 PLC Consulting Agreement. The 2022 PLC Consulting Agreement had an initial term through July 1, 2023 and automatically renews for one-year terms, unless either party provides notice to the other party that the agreement will be discontinued. The 2022 PLC Consulting Agreement may be terminated by either party upon 60 days’ prior written notice. For the years ended December 31, 2024 and 2025, we incurred aggregate fees of $2.2 million and $2.4 million to PLC pursuant to the 2022 PLC Consulting Agreement, respectively. For the three months ended, March 31, 2026, we incurred aggregate fees of $0.7 million to PLC pursuant to the 2022 PLC Consulting Agreement.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License Agreement with Aegis</w:t>
      </w:r>
    </w:p>
    <w:p>
      <w:pPr>
        <w:spacing w:after="0" w:line="123" w:lineRule="exact"/>
        <w:rPr>
          <w:sz w:val="20"/>
          <w:szCs w:val="20"/>
          <w:color w:val="auto"/>
        </w:rPr>
      </w:pPr>
    </w:p>
    <w:p>
      <w:pPr>
        <w:jc w:val="both"/>
        <w:ind w:left="300" w:right="299" w:firstLine="441"/>
        <w:spacing w:after="0"/>
        <w:rPr>
          <w:sz w:val="20"/>
          <w:szCs w:val="20"/>
          <w:color w:val="auto"/>
        </w:rPr>
      </w:pPr>
      <w:r>
        <w:rPr>
          <w:rFonts w:ascii="Arial" w:cs="Arial" w:eastAsia="Arial" w:hAnsi="Arial"/>
          <w:sz w:val="18"/>
          <w:szCs w:val="18"/>
          <w:color w:val="auto"/>
        </w:rPr>
        <w:t xml:space="preserve">In November 2024, OrbiMed entered into an agreement with Aegis Therapeutics, LLC (“Aegis”), to purchase the rights, royalty interests, and related sales milestone payments on net product sales of our product, </w:t>
      </w:r>
      <w:r>
        <w:rPr>
          <w:rFonts w:ascii="Arial" w:cs="Arial" w:eastAsia="Arial" w:hAnsi="Arial"/>
          <w:sz w:val="18"/>
          <w:szCs w:val="18"/>
          <w:b w:val="1"/>
          <w:bCs w:val="1"/>
          <w:i w:val="1"/>
          <w:iCs w:val="1"/>
          <w:color w:val="auto"/>
        </w:rPr>
        <w:t>neffy</w:t>
      </w:r>
      <w:r>
        <w:rPr>
          <w:rFonts w:ascii="Arial" w:cs="Arial" w:eastAsia="Arial" w:hAnsi="Arial"/>
          <w:sz w:val="18"/>
          <w:szCs w:val="18"/>
          <w:color w:val="auto"/>
        </w:rPr>
        <w:t>. Therefore, we will make all future payments under our agreement with Aegis (the “Aegis Agreement”) to OrbiMed. Our remaining payment obligations to OrbiMed under the Aegis Agreement are contingent upon our achievement of certain commercial milestones and have been reduced to $9.0 million as of December 31, 2025. Under the Aegis Agreement, we are also required to make royalty payments to OrbiMed based on a mid-single-digit percentage of net product sales. Future royalty payment amounts are indeterminate since they depend on future revenues, which are uncertain.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jc w:val="both"/>
        <w:ind w:left="300" w:right="299" w:firstLine="441"/>
        <w:spacing w:after="0" w:line="242" w:lineRule="auto"/>
        <w:rPr>
          <w:sz w:val="20"/>
          <w:szCs w:val="20"/>
          <w:color w:val="auto"/>
        </w:rPr>
      </w:pPr>
      <w:r>
        <w:rPr>
          <w:rFonts w:ascii="Arial" w:cs="Arial" w:eastAsia="Arial" w:hAnsi="Arial"/>
          <w:sz w:val="18"/>
          <w:szCs w:val="18"/>
          <w:color w:val="auto"/>
        </w:rPr>
        <w:t>Dr. Thompson, a member of our Board of Directors, is a general partner at OrbiMed, and OrbiMed is also a greater than 5% holder of our common stock. Under the Aegis Agreement, we incurred $0.2 million and $4.8 million in royalty expense to an affiliate of OrbiMed during the years ended December 31, 2024 and 2025, respectively, and $2.0 million in sales-based milestone payments to an affiliate of OrbiMed during the year ended December 31, 2025. For the three months ended March 31, 2026, we incurred $1.2 million in expense to OrbiMed pursuant to the Aegis Agreement.</w:t>
      </w:r>
    </w:p>
    <w:p>
      <w:pPr>
        <w:spacing w:after="0" w:line="179" w:lineRule="exact"/>
        <w:rPr>
          <w:sz w:val="20"/>
          <w:szCs w:val="20"/>
          <w:color w:val="auto"/>
        </w:rPr>
      </w:pPr>
    </w:p>
    <w:p>
      <w:pPr>
        <w:jc w:val="both"/>
        <w:ind w:left="300" w:right="319" w:firstLine="441"/>
        <w:spacing w:after="0" w:line="253" w:lineRule="auto"/>
        <w:rPr>
          <w:sz w:val="20"/>
          <w:szCs w:val="20"/>
          <w:color w:val="auto"/>
        </w:rPr>
      </w:pPr>
      <w:r>
        <w:rPr>
          <w:rFonts w:ascii="Arial" w:cs="Arial" w:eastAsia="Arial" w:hAnsi="Arial"/>
          <w:sz w:val="18"/>
          <w:szCs w:val="18"/>
          <w:color w:val="auto"/>
        </w:rPr>
        <w:t>Because the agreement described above was entered into with an unrelated party, Aegis, and assigned by Aegis to OrbiMed, the agreement was not reviewed or approved by our audit committee as a related-person transaction at the time we entered into the agreement.</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Credit Agreement with RA Capital</w:t>
      </w:r>
    </w:p>
    <w:p>
      <w:pPr>
        <w:spacing w:after="0" w:line="123"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In September 2025, we and certain of our subsidiaries, as guarantors, and ARS Pharmaceuticals Operations, Inc., (the “Borrower”) entered into a credit agreement (the “Credit Agreement”) with RA Capital Agency Services, LLC (as the “Administrative Agent” and as the “Collateral Agent”) and affiliates of OMERS Administration Corporation and RA Capital (the “Lenders”), providing for up to $250.0 million of term loans from the Lenders to the Borrower (the “Term Loans”). Pursuant to the terms of the Credit Agreement, the Term Loans may be advanced in four tranches. The first tranche (the “Term A Loan”) was advanced in the principal amount of $100.0 million on the closing date. We received $100.0 million in gross cash proceeds from Term A Loan on the closing date, less the upfront fees taken in the form of an original issue discount and third-party fees totaling $3.8 million. As of March 31, 2026, we had an outstanding principal balance under our Credit Agreement of $100.0 million.</w:t>
      </w:r>
    </w:p>
    <w:p>
      <w:pPr>
        <w:spacing w:after="0" w:line="180"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The Administrative Agent and Collateral Agent, as well as a Lender, are affiliates of RA Capital. The general partner of RA Capital is RA Capital Management GP, LLC, of which Peter Kolchinsky, Ph.D. and Rajeev Shah are controlling persons. RA Capital Healthcare Fund, L.P. and RA Capital Nexus Fund II, L.P. collectively hold in excess of 10% of our outstanding common stock and are currently our largest stockholder. RA Capital serves as the investment adviser for each of RA Capital Healthcare Fund, L.P. and RA Capital Nexus Fund II, L.P. Dr. Kolchinsky serves as a member of our Board of Directors. As of March 31, 2026, the Lender affiliated with RA Capital held a portion of Term Loans in the principal amount of $5.0 million, and for the three months ended March 31, 2026, we incurred $0.1 million in interest expense to the Lender affiliated with RA Capital.</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Indemnification Agreements</w:t>
      </w:r>
    </w:p>
    <w:p>
      <w:pPr>
        <w:spacing w:after="0" w:line="123" w:lineRule="exact"/>
        <w:rPr>
          <w:sz w:val="20"/>
          <w:szCs w:val="20"/>
          <w:color w:val="auto"/>
        </w:rPr>
      </w:pPr>
    </w:p>
    <w:p>
      <w:pPr>
        <w:jc w:val="both"/>
        <w:ind w:left="300" w:right="319" w:firstLine="441"/>
        <w:spacing w:after="0" w:line="247" w:lineRule="auto"/>
        <w:rPr>
          <w:sz w:val="20"/>
          <w:szCs w:val="20"/>
          <w:color w:val="auto"/>
        </w:rPr>
      </w:pPr>
      <w:r>
        <w:rPr>
          <w:rFonts w:ascii="Arial" w:cs="Arial" w:eastAsia="Arial" w:hAnsi="Arial"/>
          <w:sz w:val="18"/>
          <w:szCs w:val="18"/>
          <w:color w:val="auto"/>
        </w:rPr>
        <w:t>We have entered into indemnification agreements with our current directors and executive officers upon the completion of our initial public offering. Our amended and restated Certificate of Incorporation and our amended and restated Bylaws provides that we will indemnify our directors and officers to the fullest extent permitted by applicable law.</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B4B73"/>
        </w:rPr>
        <w:t>Policies and Procedures for Related-Person Transactions</w:t>
      </w:r>
    </w:p>
    <w:p>
      <w:pPr>
        <w:spacing w:after="0" w:line="123" w:lineRule="exact"/>
        <w:rPr>
          <w:sz w:val="20"/>
          <w:szCs w:val="20"/>
          <w:color w:val="auto"/>
        </w:rPr>
      </w:pPr>
    </w:p>
    <w:p>
      <w:pPr>
        <w:jc w:val="both"/>
        <w:ind w:left="300" w:right="299" w:firstLine="441"/>
        <w:spacing w:after="0" w:line="239" w:lineRule="auto"/>
        <w:rPr>
          <w:sz w:val="20"/>
          <w:szCs w:val="20"/>
          <w:color w:val="auto"/>
        </w:rPr>
      </w:pPr>
      <w:r>
        <w:rPr>
          <w:rFonts w:ascii="Arial" w:cs="Arial" w:eastAsia="Arial" w:hAnsi="Arial"/>
          <w:sz w:val="18"/>
          <w:szCs w:val="18"/>
          <w:color w:val="auto"/>
        </w:rPr>
        <w:t>We adopted a related-person transactions policy upon the completion of our initial public offering, which sets forth our policies and procedures regarding the identification, review, consideration and oversight of “related-person transactions.” For purposes of our policy only, a “related-person transaction” is a transaction that would be required to be disclosed pursuant to Item 404(a) of Regulation S-K. A “transaction” includes, but is not limited to, any financial transaction, arrangement or relationship (including any indebtedness or guarantee of indebtedness) or any series of similar transactions, arrangements or relationships. A related person is any executive officer, director, nominee to become a director, or a holder of more than five percent of our common stock, including any of their immediate family members and affiliates, including entities owned or controlled by such persons.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5" w:name="page66"/>
    <w:bookmarkEnd w:id="65"/>
    <w:p>
      <w:pPr>
        <w:jc w:val="both"/>
        <w:ind w:left="300" w:right="299" w:firstLine="441"/>
        <w:spacing w:after="0" w:line="238"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whether the transaction may constitute a personal loan under Section 402 of the Sarbanes-Oxley Act of 2002, and management’s recommendation.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 but not limited to:</w:t>
      </w:r>
    </w:p>
    <w:p>
      <w:pPr>
        <w:spacing w:after="0" w:line="72" w:lineRule="exact"/>
        <w:rPr>
          <w:sz w:val="20"/>
          <w:szCs w:val="20"/>
          <w:color w:val="auto"/>
        </w:rPr>
      </w:pPr>
    </w:p>
    <w:p>
      <w:pPr>
        <w:ind w:left="1180" w:hanging="448"/>
        <w:spacing w:after="0"/>
        <w:tabs>
          <w:tab w:leader="none" w:pos="118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costs and benefits to us;</w:t>
      </w:r>
    </w:p>
    <w:p>
      <w:pPr>
        <w:spacing w:after="0" w:line="116" w:lineRule="exact"/>
        <w:rPr>
          <w:rFonts w:ascii="Times New Roman" w:cs="Times New Roman" w:eastAsia="Times New Roman" w:hAnsi="Times New Roman"/>
          <w:sz w:val="18"/>
          <w:szCs w:val="18"/>
          <w:color w:val="auto"/>
        </w:rPr>
      </w:pPr>
    </w:p>
    <w:p>
      <w:pPr>
        <w:ind w:left="1180" w:right="299" w:hanging="448"/>
        <w:spacing w:after="0" w:line="270" w:lineRule="auto"/>
        <w:tabs>
          <w:tab w:leader="none" w:pos="118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4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services or products; and</w:t>
      </w:r>
    </w:p>
    <w:p>
      <w:pPr>
        <w:spacing w:after="0" w:line="116"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or from, as the case may be, unrelated third parties.</w:t>
      </w:r>
    </w:p>
    <w:p>
      <w:pPr>
        <w:spacing w:after="0" w:line="224" w:lineRule="exact"/>
        <w:rPr>
          <w:sz w:val="20"/>
          <w:szCs w:val="20"/>
          <w:color w:val="auto"/>
        </w:rPr>
      </w:pPr>
    </w:p>
    <w:p>
      <w:pPr>
        <w:ind w:left="300" w:right="319" w:firstLine="441"/>
        <w:spacing w:after="0" w:line="271" w:lineRule="auto"/>
        <w:rPr>
          <w:sz w:val="20"/>
          <w:szCs w:val="20"/>
          <w:color w:val="auto"/>
        </w:rPr>
      </w:pPr>
      <w:r>
        <w:rPr>
          <w:rFonts w:ascii="Arial" w:cs="Arial" w:eastAsia="Arial" w:hAnsi="Arial"/>
          <w:sz w:val="18"/>
          <w:szCs w:val="18"/>
          <w:color w:val="auto"/>
        </w:rPr>
        <w:t>In the event a director has an interest in the proposed transaction, the director must recuse himself or herself from the deliberations and approval.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6" w:name="page67"/>
    <w:bookmarkEnd w:id="66"/>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Equity Compensation Plan Information</w:t>
      </w:r>
    </w:p>
    <w:p>
      <w:pPr>
        <w:spacing w:after="0" w:line="237" w:lineRule="exact"/>
        <w:rPr>
          <w:sz w:val="20"/>
          <w:szCs w:val="20"/>
          <w:color w:val="auto"/>
        </w:rPr>
      </w:pPr>
    </w:p>
    <w:p>
      <w:pPr>
        <w:ind w:left="300" w:right="319" w:firstLine="324"/>
        <w:spacing w:after="0" w:line="271" w:lineRule="auto"/>
        <w:rPr>
          <w:sz w:val="20"/>
          <w:szCs w:val="20"/>
          <w:color w:val="auto"/>
        </w:rPr>
      </w:pPr>
      <w:r>
        <w:rPr>
          <w:rFonts w:ascii="Arial" w:cs="Arial" w:eastAsia="Arial" w:hAnsi="Arial"/>
          <w:sz w:val="18"/>
          <w:szCs w:val="18"/>
          <w:color w:val="auto"/>
        </w:rPr>
        <w:t>The following table provides certain information as of December 31, 2025, with respect to all of our equity compensation plans in effect on that date</w:t>
      </w:r>
    </w:p>
    <w:p>
      <w:pPr>
        <w:spacing w:after="0" w:line="6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spacing w:after="0"/>
              <w:rPr>
                <w:sz w:val="14"/>
                <w:szCs w:val="14"/>
                <w:color w:val="auto"/>
              </w:rPr>
            </w:pP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spacing w:after="0"/>
              <w:rPr>
                <w:sz w:val="14"/>
                <w:szCs w:val="14"/>
                <w:color w:val="auto"/>
              </w:rPr>
            </w:pP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spacing w:after="0"/>
              <w:rPr>
                <w:sz w:val="14"/>
                <w:szCs w:val="14"/>
                <w:color w:val="auto"/>
              </w:rPr>
            </w:pP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spacing w:after="0"/>
              <w:rPr>
                <w:sz w:val="14"/>
                <w:szCs w:val="14"/>
                <w:color w:val="auto"/>
              </w:rPr>
            </w:pP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Number of</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spacing w:after="0"/>
              <w:rPr>
                <w:sz w:val="14"/>
                <w:szCs w:val="14"/>
                <w:color w:val="auto"/>
              </w:rPr>
            </w:pP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Future</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Securities</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Weighted-</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Issuance</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to be</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Average</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Issued Upon</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Exercise</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Exercise of</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Price of</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Plans</w:t>
            </w:r>
          </w:p>
        </w:tc>
      </w:tr>
      <w:tr>
        <w:trPr>
          <w:trHeight w:val="153"/>
        </w:trPr>
        <w:tc>
          <w:tcPr>
            <w:tcW w:w="4840" w:type="dxa"/>
            <w:vAlign w:val="bottom"/>
            <w:shd w:val="clear" w:color="auto" w:fill="0B4B73"/>
          </w:tcPr>
          <w:p>
            <w:pPr>
              <w:spacing w:after="0"/>
              <w:rPr>
                <w:sz w:val="13"/>
                <w:szCs w:val="13"/>
                <w:color w:val="auto"/>
              </w:rPr>
            </w:pPr>
          </w:p>
        </w:tc>
        <w:tc>
          <w:tcPr>
            <w:tcW w:w="80" w:type="dxa"/>
            <w:vAlign w:val="bottom"/>
            <w:shd w:val="clear" w:color="auto" w:fill="0B4B73"/>
          </w:tcPr>
          <w:p>
            <w:pPr>
              <w:spacing w:after="0"/>
              <w:rPr>
                <w:sz w:val="13"/>
                <w:szCs w:val="13"/>
                <w:color w:val="auto"/>
              </w:rPr>
            </w:pPr>
          </w:p>
        </w:tc>
        <w:tc>
          <w:tcPr>
            <w:tcW w:w="1020" w:type="dxa"/>
            <w:vAlign w:val="bottom"/>
            <w:shd w:val="clear" w:color="auto" w:fill="0B4B73"/>
          </w:tcPr>
          <w:p>
            <w:pPr>
              <w:jc w:val="center"/>
              <w:spacing w:after="0" w:line="153" w:lineRule="exact"/>
              <w:rPr>
                <w:sz w:val="20"/>
                <w:szCs w:val="20"/>
                <w:color w:val="auto"/>
              </w:rPr>
            </w:pPr>
            <w:r>
              <w:rPr>
                <w:rFonts w:ascii="Arial" w:cs="Arial" w:eastAsia="Arial" w:hAnsi="Arial"/>
                <w:sz w:val="14"/>
                <w:szCs w:val="14"/>
                <w:b w:val="1"/>
                <w:bCs w:val="1"/>
                <w:color w:val="FFFFFF"/>
              </w:rPr>
              <w:t>Outstanding</w:t>
            </w:r>
          </w:p>
        </w:tc>
        <w:tc>
          <w:tcPr>
            <w:tcW w:w="80" w:type="dxa"/>
            <w:vAlign w:val="bottom"/>
            <w:shd w:val="clear" w:color="auto" w:fill="0B4B73"/>
          </w:tcPr>
          <w:p>
            <w:pPr>
              <w:spacing w:after="0"/>
              <w:rPr>
                <w:sz w:val="13"/>
                <w:szCs w:val="13"/>
                <w:color w:val="auto"/>
              </w:rPr>
            </w:pPr>
          </w:p>
        </w:tc>
        <w:tc>
          <w:tcPr>
            <w:tcW w:w="1100" w:type="dxa"/>
            <w:vAlign w:val="bottom"/>
            <w:gridSpan w:val="2"/>
            <w:shd w:val="clear" w:color="auto" w:fill="0B4B73"/>
          </w:tcPr>
          <w:p>
            <w:pPr>
              <w:jc w:val="center"/>
              <w:ind w:left="28"/>
              <w:spacing w:after="0" w:line="153" w:lineRule="exact"/>
              <w:rPr>
                <w:sz w:val="20"/>
                <w:szCs w:val="20"/>
                <w:color w:val="auto"/>
              </w:rPr>
            </w:pPr>
            <w:r>
              <w:rPr>
                <w:rFonts w:ascii="Arial" w:cs="Arial" w:eastAsia="Arial" w:hAnsi="Arial"/>
                <w:sz w:val="14"/>
                <w:szCs w:val="14"/>
                <w:b w:val="1"/>
                <w:bCs w:val="1"/>
                <w:color w:val="FFFFFF"/>
              </w:rPr>
              <w:t>Outstanding</w:t>
            </w:r>
          </w:p>
        </w:tc>
        <w:tc>
          <w:tcPr>
            <w:tcW w:w="160" w:type="dxa"/>
            <w:vAlign w:val="bottom"/>
            <w:shd w:val="clear" w:color="auto" w:fill="0B4B73"/>
          </w:tcPr>
          <w:p>
            <w:pPr>
              <w:spacing w:after="0"/>
              <w:rPr>
                <w:sz w:val="13"/>
                <w:szCs w:val="13"/>
                <w:color w:val="auto"/>
              </w:rPr>
            </w:pPr>
          </w:p>
        </w:tc>
        <w:tc>
          <w:tcPr>
            <w:tcW w:w="1140" w:type="dxa"/>
            <w:vAlign w:val="bottom"/>
            <w:shd w:val="clear" w:color="auto" w:fill="0B4B73"/>
          </w:tcPr>
          <w:p>
            <w:pPr>
              <w:jc w:val="center"/>
              <w:ind w:right="48"/>
              <w:spacing w:after="0" w:line="153" w:lineRule="exact"/>
              <w:rPr>
                <w:sz w:val="20"/>
                <w:szCs w:val="20"/>
                <w:color w:val="auto"/>
              </w:rPr>
            </w:pPr>
            <w:r>
              <w:rPr>
                <w:rFonts w:ascii="Arial" w:cs="Arial" w:eastAsia="Arial" w:hAnsi="Arial"/>
                <w:sz w:val="14"/>
                <w:szCs w:val="14"/>
                <w:b w:val="1"/>
                <w:bCs w:val="1"/>
                <w:color w:val="FFFFFF"/>
              </w:rPr>
              <w:t>(Excluding</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Options,</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Options,</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Warrants,</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Warrants,</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Reflected in</w:t>
            </w:r>
          </w:p>
        </w:tc>
      </w:tr>
      <w:tr>
        <w:trPr>
          <w:trHeight w:val="162"/>
        </w:trPr>
        <w:tc>
          <w:tcPr>
            <w:tcW w:w="4840" w:type="dxa"/>
            <w:vAlign w:val="bottom"/>
            <w:shd w:val="clear" w:color="auto" w:fill="0B4B73"/>
          </w:tcPr>
          <w:p>
            <w:pPr>
              <w:spacing w:after="0"/>
              <w:rPr>
                <w:sz w:val="14"/>
                <w:szCs w:val="14"/>
                <w:color w:val="auto"/>
              </w:rPr>
            </w:pPr>
          </w:p>
        </w:tc>
        <w:tc>
          <w:tcPr>
            <w:tcW w:w="80" w:type="dxa"/>
            <w:vAlign w:val="bottom"/>
            <w:shd w:val="clear" w:color="auto" w:fill="0B4B73"/>
          </w:tcPr>
          <w:p>
            <w:pPr>
              <w:spacing w:after="0"/>
              <w:rPr>
                <w:sz w:val="14"/>
                <w:szCs w:val="14"/>
                <w:color w:val="auto"/>
              </w:rPr>
            </w:pPr>
          </w:p>
        </w:tc>
        <w:tc>
          <w:tcPr>
            <w:tcW w:w="1020" w:type="dxa"/>
            <w:vAlign w:val="bottom"/>
            <w:shd w:val="clear" w:color="auto" w:fill="0B4B73"/>
          </w:tcPr>
          <w:p>
            <w:pPr>
              <w:jc w:val="center"/>
              <w:spacing w:after="0"/>
              <w:rPr>
                <w:sz w:val="20"/>
                <w:szCs w:val="20"/>
                <w:color w:val="auto"/>
              </w:rPr>
            </w:pPr>
            <w:r>
              <w:rPr>
                <w:rFonts w:ascii="Arial" w:cs="Arial" w:eastAsia="Arial" w:hAnsi="Arial"/>
                <w:sz w:val="14"/>
                <w:szCs w:val="14"/>
                <w:b w:val="1"/>
                <w:bCs w:val="1"/>
                <w:color w:val="FFFFFF"/>
              </w:rPr>
              <w:t>and Rights</w:t>
            </w:r>
          </w:p>
        </w:tc>
        <w:tc>
          <w:tcPr>
            <w:tcW w:w="80" w:type="dxa"/>
            <w:vAlign w:val="bottom"/>
            <w:shd w:val="clear" w:color="auto" w:fill="0B4B73"/>
          </w:tcPr>
          <w:p>
            <w:pPr>
              <w:spacing w:after="0"/>
              <w:rPr>
                <w:sz w:val="14"/>
                <w:szCs w:val="14"/>
                <w:color w:val="auto"/>
              </w:rPr>
            </w:pPr>
          </w:p>
        </w:tc>
        <w:tc>
          <w:tcPr>
            <w:tcW w:w="220" w:type="dxa"/>
            <w:vAlign w:val="bottom"/>
            <w:shd w:val="clear" w:color="auto" w:fill="0B4B73"/>
          </w:tcPr>
          <w:p>
            <w:pPr>
              <w:spacing w:after="0"/>
              <w:rPr>
                <w:sz w:val="14"/>
                <w:szCs w:val="14"/>
                <w:color w:val="auto"/>
              </w:rPr>
            </w:pPr>
          </w:p>
        </w:tc>
        <w:tc>
          <w:tcPr>
            <w:tcW w:w="880" w:type="dxa"/>
            <w:vAlign w:val="bottom"/>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and Rights</w:t>
            </w:r>
          </w:p>
        </w:tc>
        <w:tc>
          <w:tcPr>
            <w:tcW w:w="160" w:type="dxa"/>
            <w:vAlign w:val="bottom"/>
            <w:shd w:val="clear" w:color="auto" w:fill="0B4B73"/>
          </w:tcPr>
          <w:p>
            <w:pPr>
              <w:spacing w:after="0"/>
              <w:rPr>
                <w:sz w:val="14"/>
                <w:szCs w:val="14"/>
                <w:color w:val="auto"/>
              </w:rPr>
            </w:pPr>
          </w:p>
        </w:tc>
        <w:tc>
          <w:tcPr>
            <w:tcW w:w="1140" w:type="dxa"/>
            <w:vAlign w:val="bottom"/>
            <w:shd w:val="clear" w:color="auto" w:fill="0B4B73"/>
          </w:tcPr>
          <w:p>
            <w:pPr>
              <w:jc w:val="center"/>
              <w:ind w:right="28"/>
              <w:spacing w:after="0"/>
              <w:rPr>
                <w:sz w:val="20"/>
                <w:szCs w:val="20"/>
                <w:color w:val="auto"/>
              </w:rPr>
            </w:pPr>
            <w:r>
              <w:rPr>
                <w:rFonts w:ascii="Arial" w:cs="Arial" w:eastAsia="Arial" w:hAnsi="Arial"/>
                <w:sz w:val="14"/>
                <w:szCs w:val="14"/>
                <w:b w:val="1"/>
                <w:bCs w:val="1"/>
                <w:color w:val="FFFFFF"/>
              </w:rPr>
              <w:t>Column (a))</w:t>
            </w:r>
          </w:p>
        </w:tc>
      </w:tr>
      <w:tr>
        <w:trPr>
          <w:trHeight w:val="192"/>
        </w:trPr>
        <w:tc>
          <w:tcPr>
            <w:tcW w:w="4840" w:type="dxa"/>
            <w:vAlign w:val="bottom"/>
            <w:tcBorders>
              <w:bottom w:val="single" w:sz="8" w:color="C3D041"/>
            </w:tcBorders>
            <w:shd w:val="clear" w:color="auto" w:fill="0B4B73"/>
          </w:tcPr>
          <w:p>
            <w:pPr>
              <w:ind w:left="2260"/>
              <w:spacing w:after="0"/>
              <w:rPr>
                <w:sz w:val="20"/>
                <w:szCs w:val="20"/>
                <w:color w:val="auto"/>
              </w:rPr>
            </w:pPr>
            <w:r>
              <w:rPr>
                <w:rFonts w:ascii="Arial" w:cs="Arial" w:eastAsia="Arial" w:hAnsi="Arial"/>
                <w:sz w:val="14"/>
                <w:szCs w:val="14"/>
                <w:b w:val="1"/>
                <w:bCs w:val="1"/>
                <w:color w:val="FFFFFF"/>
              </w:rPr>
              <w:t>Plan</w:t>
            </w:r>
          </w:p>
        </w:tc>
        <w:tc>
          <w:tcPr>
            <w:tcW w:w="80" w:type="dxa"/>
            <w:vAlign w:val="bottom"/>
            <w:tcBorders>
              <w:bottom w:val="single" w:sz="8" w:color="C3D041"/>
            </w:tcBorders>
            <w:shd w:val="clear" w:color="auto" w:fill="0B4B73"/>
          </w:tcPr>
          <w:p>
            <w:pPr>
              <w:spacing w:after="0"/>
              <w:rPr>
                <w:sz w:val="16"/>
                <w:szCs w:val="16"/>
                <w:color w:val="auto"/>
              </w:rPr>
            </w:pPr>
          </w:p>
        </w:tc>
        <w:tc>
          <w:tcPr>
            <w:tcW w:w="1020" w:type="dxa"/>
            <w:vAlign w:val="bottom"/>
            <w:tcBorders>
              <w:bottom w:val="single" w:sz="8" w:color="C3D041"/>
            </w:tcBorders>
            <w:shd w:val="clear" w:color="auto" w:fill="0B4B73"/>
          </w:tcPr>
          <w:p>
            <w:pPr>
              <w:jc w:val="center"/>
              <w:spacing w:after="0"/>
              <w:rPr>
                <w:sz w:val="20"/>
                <w:szCs w:val="20"/>
                <w:color w:val="auto"/>
              </w:rPr>
            </w:pPr>
            <w:r>
              <w:rPr>
                <w:rFonts w:ascii="Arial" w:cs="Arial" w:eastAsia="Arial" w:hAnsi="Arial"/>
                <w:sz w:val="14"/>
                <w:szCs w:val="14"/>
                <w:b w:val="1"/>
                <w:bCs w:val="1"/>
                <w:color w:val="FFFFFF"/>
              </w:rPr>
              <w:t>(a)</w:t>
            </w:r>
          </w:p>
        </w:tc>
        <w:tc>
          <w:tcPr>
            <w:tcW w:w="80" w:type="dxa"/>
            <w:vAlign w:val="bottom"/>
            <w:tcBorders>
              <w:bottom w:val="single" w:sz="8" w:color="C3D041"/>
            </w:tcBorders>
            <w:shd w:val="clear" w:color="auto" w:fill="0B4B73"/>
          </w:tcPr>
          <w:p>
            <w:pPr>
              <w:spacing w:after="0"/>
              <w:rPr>
                <w:sz w:val="16"/>
                <w:szCs w:val="16"/>
                <w:color w:val="auto"/>
              </w:rPr>
            </w:pPr>
          </w:p>
        </w:tc>
        <w:tc>
          <w:tcPr>
            <w:tcW w:w="220" w:type="dxa"/>
            <w:vAlign w:val="bottom"/>
            <w:tcBorders>
              <w:bottom w:val="single" w:sz="8" w:color="C3D041"/>
            </w:tcBorders>
            <w:shd w:val="clear" w:color="auto" w:fill="0B4B73"/>
          </w:tcPr>
          <w:p>
            <w:pPr>
              <w:spacing w:after="0"/>
              <w:rPr>
                <w:sz w:val="16"/>
                <w:szCs w:val="16"/>
                <w:color w:val="auto"/>
              </w:rPr>
            </w:pPr>
          </w:p>
        </w:tc>
        <w:tc>
          <w:tcPr>
            <w:tcW w:w="880" w:type="dxa"/>
            <w:vAlign w:val="bottom"/>
            <w:tcBorders>
              <w:bottom w:val="single" w:sz="8" w:color="C3D041"/>
            </w:tcBorders>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(b)</w:t>
            </w:r>
          </w:p>
        </w:tc>
        <w:tc>
          <w:tcPr>
            <w:tcW w:w="160" w:type="dxa"/>
            <w:vAlign w:val="bottom"/>
            <w:tcBorders>
              <w:bottom w:val="single" w:sz="8" w:color="C3D041"/>
            </w:tcBorders>
            <w:shd w:val="clear" w:color="auto" w:fill="0B4B73"/>
          </w:tcPr>
          <w:p>
            <w:pPr>
              <w:spacing w:after="0"/>
              <w:rPr>
                <w:sz w:val="16"/>
                <w:szCs w:val="16"/>
                <w:color w:val="auto"/>
              </w:rPr>
            </w:pPr>
          </w:p>
        </w:tc>
        <w:tc>
          <w:tcPr>
            <w:tcW w:w="1140" w:type="dxa"/>
            <w:vAlign w:val="bottom"/>
            <w:tcBorders>
              <w:bottom w:val="single" w:sz="8" w:color="C3D041"/>
            </w:tcBorders>
            <w:shd w:val="clear" w:color="auto" w:fill="0B4B73"/>
          </w:tcPr>
          <w:p>
            <w:pPr>
              <w:jc w:val="center"/>
              <w:ind w:right="48"/>
              <w:spacing w:after="0"/>
              <w:rPr>
                <w:sz w:val="20"/>
                <w:szCs w:val="20"/>
                <w:color w:val="auto"/>
              </w:rPr>
            </w:pPr>
            <w:r>
              <w:rPr>
                <w:rFonts w:ascii="Arial" w:cs="Arial" w:eastAsia="Arial" w:hAnsi="Arial"/>
                <w:sz w:val="14"/>
                <w:szCs w:val="14"/>
                <w:b w:val="1"/>
                <w:bCs w:val="1"/>
                <w:color w:val="FFFFFF"/>
              </w:rPr>
              <w:t>(c)</w:t>
            </w:r>
          </w:p>
        </w:tc>
      </w:tr>
      <w:tr>
        <w:trPr>
          <w:trHeight w:val="162"/>
        </w:trPr>
        <w:tc>
          <w:tcPr>
            <w:tcW w:w="4840" w:type="dxa"/>
            <w:vAlign w:val="bottom"/>
            <w:shd w:val="clear" w:color="auto" w:fill="E4EDF1"/>
          </w:tcPr>
          <w:p>
            <w:pPr>
              <w:spacing w:after="0"/>
              <w:rPr>
                <w:sz w:val="20"/>
                <w:szCs w:val="20"/>
                <w:color w:val="auto"/>
              </w:rPr>
            </w:pPr>
            <w:r>
              <w:rPr>
                <w:rFonts w:ascii="Arial" w:cs="Arial" w:eastAsia="Arial" w:hAnsi="Arial"/>
                <w:sz w:val="14"/>
                <w:szCs w:val="14"/>
                <w:b w:val="1"/>
                <w:bCs w:val="1"/>
                <w:color w:val="auto"/>
              </w:rPr>
              <w:t>Equity compensation plans approved by security holders</w:t>
            </w:r>
          </w:p>
        </w:tc>
        <w:tc>
          <w:tcPr>
            <w:tcW w:w="80" w:type="dxa"/>
            <w:vAlign w:val="bottom"/>
            <w:shd w:val="clear" w:color="auto" w:fill="E4EDF1"/>
          </w:tcPr>
          <w:p>
            <w:pPr>
              <w:spacing w:after="0"/>
              <w:rPr>
                <w:sz w:val="14"/>
                <w:szCs w:val="14"/>
                <w:color w:val="auto"/>
              </w:rPr>
            </w:pPr>
          </w:p>
        </w:tc>
        <w:tc>
          <w:tcPr>
            <w:tcW w:w="1020" w:type="dxa"/>
            <w:vAlign w:val="bottom"/>
            <w:shd w:val="clear" w:color="auto" w:fill="E4EDF1"/>
          </w:tcPr>
          <w:p>
            <w:pPr>
              <w:spacing w:after="0"/>
              <w:rPr>
                <w:sz w:val="14"/>
                <w:szCs w:val="14"/>
                <w:color w:val="auto"/>
              </w:rPr>
            </w:pPr>
          </w:p>
        </w:tc>
        <w:tc>
          <w:tcPr>
            <w:tcW w:w="80" w:type="dxa"/>
            <w:vAlign w:val="bottom"/>
            <w:shd w:val="clear" w:color="auto" w:fill="E4EDF1"/>
          </w:tcPr>
          <w:p>
            <w:pPr>
              <w:spacing w:after="0"/>
              <w:rPr>
                <w:sz w:val="14"/>
                <w:szCs w:val="14"/>
                <w:color w:val="auto"/>
              </w:rPr>
            </w:pPr>
          </w:p>
        </w:tc>
        <w:tc>
          <w:tcPr>
            <w:tcW w:w="220" w:type="dxa"/>
            <w:vAlign w:val="bottom"/>
            <w:shd w:val="clear" w:color="auto" w:fill="E4EDF1"/>
          </w:tcPr>
          <w:p>
            <w:pPr>
              <w:spacing w:after="0"/>
              <w:rPr>
                <w:sz w:val="14"/>
                <w:szCs w:val="14"/>
                <w:color w:val="auto"/>
              </w:rPr>
            </w:pPr>
          </w:p>
        </w:tc>
        <w:tc>
          <w:tcPr>
            <w:tcW w:w="880" w:type="dxa"/>
            <w:vAlign w:val="bottom"/>
            <w:shd w:val="clear" w:color="auto" w:fill="E4EDF1"/>
          </w:tcPr>
          <w:p>
            <w:pPr>
              <w:spacing w:after="0"/>
              <w:rPr>
                <w:sz w:val="14"/>
                <w:szCs w:val="14"/>
                <w:color w:val="auto"/>
              </w:rPr>
            </w:pPr>
          </w:p>
        </w:tc>
        <w:tc>
          <w:tcPr>
            <w:tcW w:w="160" w:type="dxa"/>
            <w:vAlign w:val="bottom"/>
            <w:shd w:val="clear" w:color="auto" w:fill="E4EDF1"/>
          </w:tcPr>
          <w:p>
            <w:pPr>
              <w:spacing w:after="0"/>
              <w:rPr>
                <w:sz w:val="14"/>
                <w:szCs w:val="14"/>
                <w:color w:val="auto"/>
              </w:rPr>
            </w:pPr>
          </w:p>
        </w:tc>
        <w:tc>
          <w:tcPr>
            <w:tcW w:w="1140" w:type="dxa"/>
            <w:vAlign w:val="bottom"/>
            <w:shd w:val="clear" w:color="auto" w:fill="E4EDF1"/>
          </w:tcPr>
          <w:p>
            <w:pPr>
              <w:spacing w:after="0"/>
              <w:rPr>
                <w:sz w:val="14"/>
                <w:szCs w:val="14"/>
                <w:color w:val="auto"/>
              </w:rPr>
            </w:pPr>
          </w:p>
        </w:tc>
      </w:tr>
      <w:tr>
        <w:trPr>
          <w:trHeight w:val="162"/>
        </w:trPr>
        <w:tc>
          <w:tcPr>
            <w:tcW w:w="4840" w:type="dxa"/>
            <w:vAlign w:val="bottom"/>
          </w:tcPr>
          <w:p>
            <w:pPr>
              <w:ind w:left="180"/>
              <w:spacing w:after="0" w:line="162" w:lineRule="exact"/>
              <w:rPr>
                <w:sz w:val="20"/>
                <w:szCs w:val="20"/>
                <w:color w:val="auto"/>
              </w:rPr>
            </w:pPr>
            <w:r>
              <w:rPr>
                <w:rFonts w:ascii="Arial" w:cs="Arial" w:eastAsia="Arial" w:hAnsi="Arial"/>
                <w:sz w:val="14"/>
                <w:szCs w:val="14"/>
                <w:color w:val="auto"/>
              </w:rPr>
              <w:t>2016 Equity Incentive Plan</w:t>
            </w:r>
            <w:r>
              <w:rPr>
                <w:rFonts w:ascii="Arial" w:cs="Arial" w:eastAsia="Arial" w:hAnsi="Arial"/>
                <w:sz w:val="18"/>
                <w:szCs w:val="18"/>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277,734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5.67</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4840" w:type="dxa"/>
            <w:vAlign w:val="bottom"/>
            <w:shd w:val="clear" w:color="auto" w:fill="E4EDF1"/>
          </w:tcPr>
          <w:p>
            <w:pPr>
              <w:ind w:left="180"/>
              <w:spacing w:after="0" w:line="162" w:lineRule="exact"/>
              <w:rPr>
                <w:sz w:val="20"/>
                <w:szCs w:val="20"/>
                <w:color w:val="auto"/>
              </w:rPr>
            </w:pPr>
            <w:r>
              <w:rPr>
                <w:rFonts w:ascii="Arial" w:cs="Arial" w:eastAsia="Arial" w:hAnsi="Arial"/>
                <w:sz w:val="14"/>
                <w:szCs w:val="14"/>
                <w:color w:val="auto"/>
              </w:rPr>
              <w:t>2020 Equity Incentive Plan</w:t>
            </w:r>
            <w:r>
              <w:rPr>
                <w:rFonts w:ascii="Arial" w:cs="Arial" w:eastAsia="Arial" w:hAnsi="Arial"/>
                <w:sz w:val="18"/>
                <w:szCs w:val="18"/>
                <w:color w:val="auto"/>
                <w:vertAlign w:val="superscript"/>
              </w:rPr>
              <w:t>(2)</w:t>
            </w:r>
          </w:p>
        </w:tc>
        <w:tc>
          <w:tcPr>
            <w:tcW w:w="1100" w:type="dxa"/>
            <w:vAlign w:val="bottom"/>
            <w:gridSpan w:val="2"/>
            <w:shd w:val="clear" w:color="auto" w:fill="E4EDF1"/>
          </w:tcPr>
          <w:p>
            <w:pPr>
              <w:jc w:val="right"/>
              <w:spacing w:after="0"/>
              <w:rPr>
                <w:sz w:val="20"/>
                <w:szCs w:val="20"/>
                <w:color w:val="auto"/>
              </w:rPr>
            </w:pPr>
            <w:r>
              <w:rPr>
                <w:rFonts w:ascii="Arial" w:cs="Arial" w:eastAsia="Arial" w:hAnsi="Arial"/>
                <w:sz w:val="14"/>
                <w:szCs w:val="14"/>
                <w:color w:val="auto"/>
              </w:rPr>
              <w:t>12,544,492</w:t>
            </w:r>
          </w:p>
        </w:tc>
        <w:tc>
          <w:tcPr>
            <w:tcW w:w="300" w:type="dxa"/>
            <w:vAlign w:val="bottom"/>
            <w:gridSpan w:val="2"/>
            <w:shd w:val="clear" w:color="auto" w:fill="E4EDF1"/>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DF1"/>
          </w:tcPr>
          <w:p>
            <w:pPr>
              <w:jc w:val="right"/>
              <w:spacing w:after="0"/>
              <w:rPr>
                <w:sz w:val="20"/>
                <w:szCs w:val="20"/>
                <w:color w:val="auto"/>
              </w:rPr>
            </w:pPr>
            <w:r>
              <w:rPr>
                <w:rFonts w:ascii="Arial" w:cs="Arial" w:eastAsia="Arial" w:hAnsi="Arial"/>
                <w:sz w:val="14"/>
                <w:szCs w:val="14"/>
                <w:color w:val="auto"/>
              </w:rPr>
              <w:t>9.80</w:t>
            </w:r>
          </w:p>
        </w:tc>
        <w:tc>
          <w:tcPr>
            <w:tcW w:w="1300" w:type="dxa"/>
            <w:vAlign w:val="bottom"/>
            <w:gridSpan w:val="2"/>
            <w:shd w:val="clear" w:color="auto" w:fill="E4EDF1"/>
          </w:tcPr>
          <w:p>
            <w:pPr>
              <w:jc w:val="right"/>
              <w:ind w:right="48"/>
              <w:spacing w:after="0"/>
              <w:rPr>
                <w:sz w:val="20"/>
                <w:szCs w:val="20"/>
                <w:color w:val="auto"/>
              </w:rPr>
            </w:pPr>
            <w:r>
              <w:rPr>
                <w:rFonts w:ascii="Arial" w:cs="Arial" w:eastAsia="Arial" w:hAnsi="Arial"/>
                <w:sz w:val="14"/>
                <w:szCs w:val="14"/>
                <w:color w:val="auto"/>
              </w:rPr>
              <w:t>7,787,841</w:t>
            </w:r>
          </w:p>
        </w:tc>
      </w:tr>
      <w:tr>
        <w:trPr>
          <w:trHeight w:val="162"/>
        </w:trPr>
        <w:tc>
          <w:tcPr>
            <w:tcW w:w="4840" w:type="dxa"/>
            <w:vAlign w:val="bottom"/>
          </w:tcPr>
          <w:p>
            <w:pPr>
              <w:ind w:left="180"/>
              <w:spacing w:after="0" w:line="162" w:lineRule="exact"/>
              <w:rPr>
                <w:sz w:val="20"/>
                <w:szCs w:val="20"/>
                <w:color w:val="auto"/>
              </w:rPr>
            </w:pPr>
            <w:r>
              <w:rPr>
                <w:rFonts w:ascii="Arial" w:cs="Arial" w:eastAsia="Arial" w:hAnsi="Arial"/>
                <w:sz w:val="14"/>
                <w:szCs w:val="14"/>
                <w:color w:val="auto"/>
              </w:rPr>
              <w:t>2020 Employee Stock Purchase Plan</w:t>
            </w:r>
            <w:r>
              <w:rPr>
                <w:rFonts w:ascii="Arial" w:cs="Arial" w:eastAsia="Arial" w:hAnsi="Arial"/>
                <w:sz w:val="18"/>
                <w:szCs w:val="18"/>
                <w:color w:val="auto"/>
                <w:vertAlign w:val="superscript"/>
              </w:rPr>
              <w:t>(3)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2,722,563</w:t>
            </w:r>
          </w:p>
        </w:tc>
      </w:tr>
      <w:tr>
        <w:trPr>
          <w:trHeight w:val="162"/>
        </w:trPr>
        <w:tc>
          <w:tcPr>
            <w:tcW w:w="4840" w:type="dxa"/>
            <w:vAlign w:val="bottom"/>
            <w:tcBorders>
              <w:bottom w:val="single" w:sz="8" w:color="E4EDF1"/>
            </w:tcBorders>
            <w:shd w:val="clear" w:color="auto" w:fill="E4EDF1"/>
          </w:tcPr>
          <w:p>
            <w:pPr>
              <w:ind w:left="180"/>
              <w:spacing w:after="0" w:line="162" w:lineRule="exact"/>
              <w:rPr>
                <w:sz w:val="20"/>
                <w:szCs w:val="20"/>
                <w:color w:val="auto"/>
              </w:rPr>
            </w:pPr>
            <w:r>
              <w:rPr>
                <w:rFonts w:ascii="Arial" w:cs="Arial" w:eastAsia="Arial" w:hAnsi="Arial"/>
                <w:sz w:val="14"/>
                <w:szCs w:val="14"/>
                <w:color w:val="auto"/>
              </w:rPr>
              <w:t>Private ARS Pharma 2018 Plan</w:t>
            </w:r>
            <w:r>
              <w:rPr>
                <w:rFonts w:ascii="Arial" w:cs="Arial" w:eastAsia="Arial" w:hAnsi="Arial"/>
                <w:sz w:val="18"/>
                <w:szCs w:val="18"/>
                <w:color w:val="auto"/>
                <w:vertAlign w:val="superscript"/>
              </w:rPr>
              <w:t>(4)</w:t>
            </w:r>
          </w:p>
        </w:tc>
        <w:tc>
          <w:tcPr>
            <w:tcW w:w="80" w:type="dxa"/>
            <w:vAlign w:val="bottom"/>
            <w:tcBorders>
              <w:bottom w:val="single" w:sz="8" w:color="E4EDF1"/>
            </w:tcBorders>
            <w:shd w:val="clear" w:color="auto" w:fill="E4EDF1"/>
          </w:tcPr>
          <w:p>
            <w:pPr>
              <w:spacing w:after="0"/>
              <w:rPr>
                <w:sz w:val="14"/>
                <w:szCs w:val="14"/>
                <w:color w:val="auto"/>
              </w:rPr>
            </w:pPr>
          </w:p>
        </w:tc>
        <w:tc>
          <w:tcPr>
            <w:tcW w:w="1020" w:type="dxa"/>
            <w:vAlign w:val="bottom"/>
            <w:tcBorders>
              <w:bottom w:val="single" w:sz="8" w:color="auto"/>
            </w:tcBorders>
            <w:shd w:val="clear" w:color="auto" w:fill="E4EDF1"/>
          </w:tcPr>
          <w:p>
            <w:pPr>
              <w:jc w:val="right"/>
              <w:spacing w:after="0"/>
              <w:rPr>
                <w:sz w:val="20"/>
                <w:szCs w:val="20"/>
                <w:color w:val="auto"/>
              </w:rPr>
            </w:pPr>
            <w:r>
              <w:rPr>
                <w:rFonts w:ascii="Arial" w:cs="Arial" w:eastAsia="Arial" w:hAnsi="Arial"/>
                <w:sz w:val="14"/>
                <w:szCs w:val="14"/>
                <w:color w:val="auto"/>
              </w:rPr>
              <w:t>3,923,795</w:t>
            </w:r>
          </w:p>
        </w:tc>
        <w:tc>
          <w:tcPr>
            <w:tcW w:w="80" w:type="dxa"/>
            <w:vAlign w:val="bottom"/>
            <w:tcBorders>
              <w:bottom w:val="single" w:sz="8" w:color="auto"/>
            </w:tcBorders>
            <w:shd w:val="clear" w:color="auto" w:fill="E4EDF1"/>
          </w:tcPr>
          <w:p>
            <w:pPr>
              <w:spacing w:after="0"/>
              <w:rPr>
                <w:sz w:val="14"/>
                <w:szCs w:val="14"/>
                <w:color w:val="auto"/>
              </w:rPr>
            </w:pPr>
          </w:p>
        </w:tc>
        <w:tc>
          <w:tcPr>
            <w:tcW w:w="220" w:type="dxa"/>
            <w:vAlign w:val="bottom"/>
            <w:tcBorders>
              <w:bottom w:val="single" w:sz="8" w:color="E4EDF1"/>
            </w:tcBorders>
            <w:shd w:val="clear" w:color="auto" w:fill="E4EDF1"/>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4EDF1"/>
            </w:tcBorders>
            <w:shd w:val="clear" w:color="auto" w:fill="E4EDF1"/>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Borders>
              <w:bottom w:val="single" w:sz="8" w:color="E4EDF1"/>
            </w:tcBorders>
            <w:shd w:val="clear" w:color="auto" w:fill="E4EDF1"/>
          </w:tcPr>
          <w:p>
            <w:pPr>
              <w:spacing w:after="0"/>
              <w:rPr>
                <w:sz w:val="14"/>
                <w:szCs w:val="14"/>
                <w:color w:val="auto"/>
              </w:rPr>
            </w:pPr>
          </w:p>
        </w:tc>
        <w:tc>
          <w:tcPr>
            <w:tcW w:w="1140" w:type="dxa"/>
            <w:vAlign w:val="bottom"/>
            <w:tcBorders>
              <w:bottom w:val="single" w:sz="8" w:color="auto"/>
            </w:tcBorders>
            <w:shd w:val="clear" w:color="auto" w:fill="E4EDF1"/>
          </w:tcPr>
          <w:p>
            <w:pPr>
              <w:jc w:val="right"/>
              <w:ind w:right="48"/>
              <w:spacing w:after="0"/>
              <w:rPr>
                <w:sz w:val="20"/>
                <w:szCs w:val="20"/>
                <w:color w:val="auto"/>
              </w:rPr>
            </w:pPr>
            <w:r>
              <w:rPr>
                <w:rFonts w:ascii="Arial" w:cs="Arial" w:eastAsia="Arial" w:hAnsi="Arial"/>
                <w:sz w:val="14"/>
                <w:szCs w:val="14"/>
                <w:color w:val="auto"/>
              </w:rPr>
              <w:t>297,345</w:t>
            </w:r>
          </w:p>
        </w:tc>
      </w:tr>
      <w:tr>
        <w:trPr>
          <w:trHeight w:val="156"/>
        </w:trPr>
        <w:tc>
          <w:tcPr>
            <w:tcW w:w="4840" w:type="dxa"/>
            <w:vAlign w:val="bottom"/>
          </w:tcPr>
          <w:p>
            <w:pPr>
              <w:spacing w:after="0" w:line="155" w:lineRule="exact"/>
              <w:rPr>
                <w:sz w:val="20"/>
                <w:szCs w:val="20"/>
                <w:color w:val="auto"/>
              </w:rPr>
            </w:pPr>
            <w:r>
              <w:rPr>
                <w:rFonts w:ascii="Arial" w:cs="Arial" w:eastAsia="Arial" w:hAnsi="Arial"/>
                <w:sz w:val="14"/>
                <w:szCs w:val="14"/>
                <w:b w:val="1"/>
                <w:bCs w:val="1"/>
                <w:color w:val="auto"/>
              </w:rPr>
              <w:t>Total equity compensation plans approved by security holders</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16,746,021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10,807,749</w:t>
            </w:r>
          </w:p>
        </w:tc>
      </w:tr>
      <w:tr>
        <w:trPr>
          <w:trHeight w:val="162"/>
        </w:trPr>
        <w:tc>
          <w:tcPr>
            <w:tcW w:w="4840" w:type="dxa"/>
            <w:vAlign w:val="bottom"/>
            <w:shd w:val="clear" w:color="auto" w:fill="E4EDF1"/>
          </w:tcPr>
          <w:p>
            <w:pPr>
              <w:spacing w:after="0" w:line="162" w:lineRule="exact"/>
              <w:rPr>
                <w:sz w:val="20"/>
                <w:szCs w:val="20"/>
                <w:color w:val="auto"/>
              </w:rPr>
            </w:pPr>
            <w:r>
              <w:rPr>
                <w:rFonts w:ascii="Arial" w:cs="Arial" w:eastAsia="Arial" w:hAnsi="Arial"/>
                <w:sz w:val="14"/>
                <w:szCs w:val="14"/>
                <w:b w:val="1"/>
                <w:bCs w:val="1"/>
                <w:color w:val="auto"/>
              </w:rPr>
              <w:t>Total equity compensation plans not approved by security holders</w:t>
            </w:r>
            <w:r>
              <w:rPr>
                <w:rFonts w:ascii="Arial" w:cs="Arial" w:eastAsia="Arial" w:hAnsi="Arial"/>
                <w:sz w:val="18"/>
                <w:szCs w:val="18"/>
                <w:b w:val="1"/>
                <w:bCs w:val="1"/>
                <w:color w:val="auto"/>
                <w:vertAlign w:val="superscript"/>
              </w:rPr>
              <w:t>(5)</w:t>
            </w:r>
          </w:p>
        </w:tc>
        <w:tc>
          <w:tcPr>
            <w:tcW w:w="80" w:type="dxa"/>
            <w:vAlign w:val="bottom"/>
            <w:shd w:val="clear" w:color="auto" w:fill="E4EDF1"/>
          </w:tcPr>
          <w:p>
            <w:pPr>
              <w:spacing w:after="0"/>
              <w:rPr>
                <w:sz w:val="14"/>
                <w:szCs w:val="14"/>
                <w:color w:val="auto"/>
              </w:rPr>
            </w:pPr>
          </w:p>
        </w:tc>
        <w:tc>
          <w:tcPr>
            <w:tcW w:w="1020" w:type="dxa"/>
            <w:vAlign w:val="bottom"/>
            <w:shd w:val="clear" w:color="auto" w:fill="E4EDF1"/>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E4EDF1"/>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DF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4EDF1"/>
          </w:tcPr>
          <w:p>
            <w:pPr>
              <w:spacing w:after="0"/>
              <w:rPr>
                <w:sz w:val="14"/>
                <w:szCs w:val="14"/>
                <w:color w:val="auto"/>
              </w:rPr>
            </w:pPr>
          </w:p>
        </w:tc>
        <w:tc>
          <w:tcPr>
            <w:tcW w:w="1140" w:type="dxa"/>
            <w:vAlign w:val="bottom"/>
            <w:shd w:val="clear" w:color="auto" w:fill="E4EDF1"/>
          </w:tcPr>
          <w:p>
            <w:pPr>
              <w:jc w:val="right"/>
              <w:ind w:right="48"/>
              <w:spacing w:after="0"/>
              <w:rPr>
                <w:sz w:val="20"/>
                <w:szCs w:val="20"/>
                <w:color w:val="auto"/>
              </w:rPr>
            </w:pPr>
            <w:r>
              <w:rPr>
                <w:rFonts w:ascii="Arial" w:cs="Arial" w:eastAsia="Arial" w:hAnsi="Arial"/>
                <w:sz w:val="14"/>
                <w:szCs w:val="14"/>
                <w:color w:val="auto"/>
              </w:rPr>
              <w:t>—</w:t>
            </w:r>
          </w:p>
        </w:tc>
      </w:tr>
      <w:tr>
        <w:trPr>
          <w:trHeight w:val="156"/>
        </w:trPr>
        <w:tc>
          <w:tcPr>
            <w:tcW w:w="4840" w:type="dxa"/>
            <w:vAlign w:val="bottom"/>
            <w:tcBorders>
              <w:top w:val="single" w:sz="8" w:color="E4EDF1"/>
              <w:bottom w:val="single" w:sz="8" w:color="E4EDF1"/>
            </w:tcBorders>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E4EDF1"/>
              <w:bottom w:val="single" w:sz="8" w:color="E4EDF1"/>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16,746,021</w:t>
            </w: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E4EDF1"/>
            </w:tcBorders>
          </w:tcPr>
          <w:p>
            <w:pPr>
              <w:spacing w:after="0"/>
              <w:rPr>
                <w:sz w:val="13"/>
                <w:szCs w:val="13"/>
                <w:color w:val="auto"/>
              </w:rPr>
            </w:pPr>
          </w:p>
        </w:tc>
        <w:tc>
          <w:tcPr>
            <w:tcW w:w="880" w:type="dxa"/>
            <w:vAlign w:val="bottom"/>
            <w:tcBorders>
              <w:top w:val="single" w:sz="8" w:color="E4EDF1"/>
            </w:tcBorders>
          </w:tcPr>
          <w:p>
            <w:pPr>
              <w:spacing w:after="0"/>
              <w:rPr>
                <w:sz w:val="13"/>
                <w:szCs w:val="13"/>
                <w:color w:val="auto"/>
              </w:rPr>
            </w:pPr>
          </w:p>
        </w:tc>
        <w:tc>
          <w:tcPr>
            <w:tcW w:w="160" w:type="dxa"/>
            <w:vAlign w:val="bottom"/>
            <w:tcBorders>
              <w:top w:val="single" w:sz="8" w:color="E4EDF1"/>
              <w:bottom w:val="single" w:sz="8" w:color="E4EDF1"/>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10,807,749</w:t>
            </w: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-350520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-136525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12344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4" w:lineRule="exact"/>
        <w:rPr>
          <w:sz w:val="20"/>
          <w:szCs w:val="20"/>
          <w:color w:val="auto"/>
        </w:rPr>
      </w:pPr>
    </w:p>
    <w:p>
      <w:pPr>
        <w:jc w:val="both"/>
        <w:ind w:left="740" w:right="319" w:hanging="448"/>
        <w:spacing w:after="0" w:line="263" w:lineRule="auto"/>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Upon adoption of our 2020 Plan, we restricted future grants from the ARS Pharma 2016 Equity Incentive Plan (the “2016 Plan”). Shares of our common stock reserved for issuance under the 2016 Plan that are repurchased, forfeited, expired, or cancelled increase the number of shares of our common stock reserved for issuance under the 2020 Plan.</w:t>
      </w:r>
    </w:p>
    <w:p>
      <w:pPr>
        <w:spacing w:after="0" w:line="10" w:lineRule="exact"/>
        <w:rPr>
          <w:rFonts w:ascii="Arial" w:cs="Arial" w:eastAsia="Arial" w:hAnsi="Arial"/>
          <w:sz w:val="14"/>
          <w:szCs w:val="14"/>
          <w:color w:val="auto"/>
        </w:rPr>
      </w:pPr>
    </w:p>
    <w:p>
      <w:pPr>
        <w:jc w:val="both"/>
        <w:ind w:left="740" w:right="299" w:hanging="448"/>
        <w:spacing w:after="0" w:line="256" w:lineRule="auto"/>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Under the terms of our 2020 Plan, the number of shares of our common stock reserved for issuance under our 2020 Plan will automatically increase on January 1 of each year through January 1, 2030 by a number of shares equal to (i) 5% of the total number of shares of our capital stock outstanding on the last day of the calendar month before the date of each automatic increase, or (ii) a lesser amount determined by our Board of Directors.</w:t>
      </w:r>
    </w:p>
    <w:p>
      <w:pPr>
        <w:spacing w:after="0" w:line="15" w:lineRule="exact"/>
        <w:rPr>
          <w:rFonts w:ascii="Arial" w:cs="Arial" w:eastAsia="Arial" w:hAnsi="Arial"/>
          <w:sz w:val="14"/>
          <w:szCs w:val="14"/>
          <w:color w:val="auto"/>
        </w:rPr>
      </w:pPr>
    </w:p>
    <w:p>
      <w:pPr>
        <w:jc w:val="both"/>
        <w:ind w:left="740" w:right="299" w:hanging="448"/>
        <w:spacing w:after="0" w:line="253" w:lineRule="auto"/>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Under the terms of our 2020 Employee Stock Purchase Plan (our “ESPP”), the number of shares of our common stock reserved for issuance under our ESPP will automatically increase on January 1 of each calendar year through January 1, 2030 by a number of shares equal to the lesser of (i) 1% of the total number of shares of our capital stock outstanding on December 31 of the preceding calendar year; (ii) 700,000 shares; or (iii) a lesser amount determined by our Board of Directors.</w:t>
      </w:r>
    </w:p>
    <w:p>
      <w:pPr>
        <w:spacing w:after="0" w:line="185" w:lineRule="exact"/>
        <w:rPr>
          <w:rFonts w:ascii="Arial" w:cs="Arial" w:eastAsia="Arial" w:hAnsi="Arial"/>
          <w:sz w:val="14"/>
          <w:szCs w:val="14"/>
          <w:color w:val="auto"/>
        </w:rPr>
      </w:pPr>
    </w:p>
    <w:p>
      <w:pPr>
        <w:jc w:val="both"/>
        <w:ind w:left="740" w:right="299" w:hanging="448"/>
        <w:spacing w:after="0" w:line="247" w:lineRule="auto"/>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Upon the closing of the November 2022 merger, we assumed the Private ARS Pharma 2018 Plan and the Private ARS Pharma Options. At the effective time of the merger, each Private ARS Pharma Option was converted into an option to purchase a number of shares of our common stock determined by multiplying (a) the number of shares of Private ARS Pharma common stock that were subject to such Private ARS Pharma Option by (b) 1.1819, and rounding the resulting number down to the nearest whole number of shares of our common stock, and the per share exercise price determined by dividing (A) the per share exercise price of such Private ARS Pharma Option by (B) 1.1819, and rounding the resulting exercise price up to the nearest whole cent. We do not intend to grant future stock options or other equity awards under the Private ARS Pharma 2018 Plan.</w:t>
      </w:r>
    </w:p>
    <w:p>
      <w:pPr>
        <w:spacing w:after="0" w:line="190" w:lineRule="exact"/>
        <w:rPr>
          <w:rFonts w:ascii="Arial" w:cs="Arial" w:eastAsia="Arial" w:hAnsi="Arial"/>
          <w:sz w:val="14"/>
          <w:szCs w:val="14"/>
          <w:color w:val="auto"/>
        </w:rPr>
      </w:pPr>
    </w:p>
    <w:p>
      <w:pPr>
        <w:ind w:left="740" w:hanging="448"/>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December 31, 2025, we did not have any equity compensation plans that were not approved by our stockholders.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Householding of Proxy Materials</w:t>
      </w:r>
    </w:p>
    <w:p>
      <w:pPr>
        <w:spacing w:after="0" w:line="237" w:lineRule="exact"/>
        <w:rPr>
          <w:sz w:val="20"/>
          <w:szCs w:val="20"/>
          <w:color w:val="auto"/>
        </w:rPr>
      </w:pPr>
    </w:p>
    <w:p>
      <w:pPr>
        <w:jc w:val="both"/>
        <w:ind w:left="300" w:right="299" w:firstLine="441"/>
        <w:spacing w:after="0" w:line="242"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79" w:lineRule="exact"/>
        <w:rPr>
          <w:sz w:val="20"/>
          <w:szCs w:val="20"/>
          <w:color w:val="auto"/>
        </w:rPr>
      </w:pPr>
    </w:p>
    <w:p>
      <w:pPr>
        <w:jc w:val="both"/>
        <w:ind w:left="300" w:right="299" w:firstLine="441"/>
        <w:spacing w:after="0" w:line="238" w:lineRule="auto"/>
        <w:rPr>
          <w:sz w:val="20"/>
          <w:szCs w:val="20"/>
          <w:color w:val="auto"/>
        </w:rPr>
      </w:pPr>
      <w:r>
        <w:rPr>
          <w:rFonts w:ascii="Arial" w:cs="Arial" w:eastAsia="Arial" w:hAnsi="Arial"/>
          <w:sz w:val="18"/>
          <w:szCs w:val="18"/>
          <w:color w:val="auto"/>
        </w:rPr>
        <w:t>This year, a number of brokers with account holders who are ARS Pharma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the Company by telephone at (858) 771-9307 or by written request to 11682 El Camino Real, Suite 300, San Diego, California 92130, Attention: Corporate Secretary, and we will promptly deliver the requested documents or notice.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B4B73"/>
        </w:rPr>
        <w:t>Other Matters</w:t>
      </w:r>
    </w:p>
    <w:p>
      <w:pPr>
        <w:spacing w:after="0" w:line="237" w:lineRule="exact"/>
        <w:rPr>
          <w:sz w:val="20"/>
          <w:szCs w:val="20"/>
          <w:color w:val="auto"/>
        </w:rPr>
      </w:pPr>
    </w:p>
    <w:p>
      <w:pPr>
        <w:jc w:val="both"/>
        <w:ind w:left="300" w:right="299" w:firstLine="441"/>
        <w:spacing w:after="0" w:line="253"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Lowenthal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-1905</wp:posOffset>
            </wp:positionV>
            <wp:extent cx="21342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Richard Lowenthal, M.S., MSEL</w:t>
      </w:r>
    </w:p>
    <w:p>
      <w:pPr>
        <w:ind w:left="5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Diego, CA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29, 2026</w:t>
      </w:r>
    </w:p>
    <w:p>
      <w:pPr>
        <w:spacing w:after="0" w:line="194" w:lineRule="exact"/>
        <w:rPr>
          <w:sz w:val="20"/>
          <w:szCs w:val="20"/>
          <w:color w:val="auto"/>
        </w:rPr>
      </w:pPr>
    </w:p>
    <w:p>
      <w:pPr>
        <w:jc w:val="both"/>
        <w:ind w:left="300" w:right="299"/>
        <w:spacing w:after="0" w:line="250"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fiscal year ended December 31, 2025 is available without charge upon written request to: ARS Pharmaceuticals, Inc., Attn: Secretary, 11682 El Camino Real, Suite 300, San Diego, California 92130.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450850</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8785860</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937895</wp:posOffset>
            </wp:positionV>
            <wp:extent cx="5349240" cy="6917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8888730</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amp;"/>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amp;"/>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9"/>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4"/>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7"/>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2026-04-29T15:30:58Z</dcterms:created>
  <dcterms:modified xsi:type="dcterms:W3CDTF">2026-04-29T15:30:58Z</dcterms:modified>
</cp:coreProperties>
</file>