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4"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ind w:left="540" w:hanging="424"/>
        <w:spacing w:after="0" w:line="200" w:lineRule="auto"/>
        <w:tabs>
          <w:tab w:leader="none" w:pos="540" w:val="left"/>
        </w:tabs>
        <w:numPr>
          <w:ilvl w:val="0"/>
          <w:numId w:val="2"/>
        </w:numPr>
        <w:rPr>
          <w:rFonts w:ascii="MS PGothic" w:cs="MS PGothic" w:eastAsia="MS PGothic" w:hAnsi="MS PGothic"/>
          <w:sz w:val="8"/>
          <w:szCs w:val="8"/>
          <w:color w:val="auto"/>
        </w:rPr>
      </w:pPr>
      <w:r>
        <w:rPr>
          <w:rFonts w:ascii="Arial" w:cs="Arial" w:eastAsia="Arial" w:hAnsi="Arial"/>
          <w:sz w:val="8"/>
          <w:szCs w:val="8"/>
          <w:b w:val="1"/>
          <w:bCs w:val="1"/>
          <w:color w:val="auto"/>
        </w:rPr>
        <w:t>TRANSITION REPORT PURSUANT TO SECTION 13 OR 15(d) OF THE SECURITIES EXCHANGE ACT OF 1934 FOR THE</w:t>
      </w:r>
    </w:p>
    <w:p>
      <w:pPr>
        <w:spacing w:after="0" w:line="185" w:lineRule="exact"/>
        <w:rPr>
          <w:sz w:val="24"/>
          <w:szCs w:val="24"/>
          <w:color w:val="auto"/>
        </w:rPr>
      </w:pPr>
    </w:p>
    <w:p>
      <w:pPr>
        <w:ind w:left="540"/>
        <w:spacing w:after="0"/>
        <w:tabs>
          <w:tab w:leader="none" w:pos="380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5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001-39756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Silverback Therapeutics, Inc.</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0" w:lineRule="exact"/>
        <w:rPr>
          <w:sz w:val="24"/>
          <w:szCs w:val="24"/>
          <w:color w:val="auto"/>
        </w:rPr>
      </w:pPr>
    </w:p>
    <w:tbl>
      <w:tblPr>
        <w:tblLayout w:type="fixed"/>
        <w:tblInd w:w="120" w:type="dxa"/>
        <w:tblCellMar>
          <w:top w:w="0" w:type="dxa"/>
          <w:left w:w="0" w:type="dxa"/>
          <w:bottom w:w="0" w:type="dxa"/>
          <w:right w:w="0" w:type="dxa"/>
        </w:tblCellMar>
      </w:tblPr>
      <w:tr>
        <w:trPr>
          <w:trHeight w:val="162"/>
        </w:trPr>
        <w:tc>
          <w:tcPr>
            <w:tcW w:w="666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Delaware</w:t>
            </w:r>
          </w:p>
        </w:tc>
        <w:tc>
          <w:tcPr>
            <w:tcW w:w="4360" w:type="dxa"/>
            <w:vAlign w:val="bottom"/>
            <w:gridSpan w:val="4"/>
          </w:tcPr>
          <w:p>
            <w:pPr>
              <w:jc w:val="right"/>
              <w:ind w:right="2188"/>
              <w:spacing w:after="0"/>
              <w:rPr>
                <w:sz w:val="20"/>
                <w:szCs w:val="20"/>
                <w:color w:val="auto"/>
              </w:rPr>
            </w:pPr>
            <w:r>
              <w:rPr>
                <w:rFonts w:ascii="Arial" w:cs="Arial" w:eastAsia="Arial" w:hAnsi="Arial"/>
                <w:sz w:val="14"/>
                <w:szCs w:val="14"/>
                <w:b w:val="1"/>
                <w:bCs w:val="1"/>
                <w:color w:val="auto"/>
              </w:rPr>
              <w:t>81-1489190</w:t>
            </w:r>
          </w:p>
        </w:tc>
        <w:tc>
          <w:tcPr>
            <w:tcW w:w="0" w:type="dxa"/>
            <w:vAlign w:val="bottom"/>
          </w:tcPr>
          <w:p>
            <w:pPr>
              <w:spacing w:after="0"/>
              <w:rPr>
                <w:sz w:val="1"/>
                <w:szCs w:val="1"/>
                <w:color w:val="auto"/>
              </w:rPr>
            </w:pPr>
          </w:p>
        </w:tc>
      </w:tr>
      <w:tr>
        <w:trPr>
          <w:trHeight w:val="162"/>
        </w:trPr>
        <w:tc>
          <w:tcPr>
            <w:tcW w:w="666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(State or other jurisdiction of</w:t>
            </w:r>
          </w:p>
        </w:tc>
        <w:tc>
          <w:tcPr>
            <w:tcW w:w="4360" w:type="dxa"/>
            <w:vAlign w:val="bottom"/>
            <w:gridSpan w:val="4"/>
          </w:tcPr>
          <w:p>
            <w:pPr>
              <w:jc w:val="center"/>
              <w:ind w:right="868"/>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66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incorporation or organization)</w:t>
            </w:r>
          </w:p>
        </w:tc>
        <w:tc>
          <w:tcPr>
            <w:tcW w:w="4360" w:type="dxa"/>
            <w:vAlign w:val="bottom"/>
            <w:gridSpan w:val="4"/>
          </w:tcPr>
          <w:p>
            <w:pPr>
              <w:jc w:val="center"/>
              <w:ind w:right="868"/>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666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500 Fairview Ave N, Suite 600</w:t>
            </w:r>
          </w:p>
        </w:tc>
        <w:tc>
          <w:tcPr>
            <w:tcW w:w="142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98109</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666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Seattle, Washington</w:t>
            </w:r>
          </w:p>
        </w:tc>
        <w:tc>
          <w:tcPr>
            <w:tcW w:w="4360" w:type="dxa"/>
            <w:vAlign w:val="bottom"/>
            <w:gridSpan w:val="4"/>
          </w:tcPr>
          <w:p>
            <w:pPr>
              <w:jc w:val="center"/>
              <w:ind w:right="868"/>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190"/>
        </w:trPr>
        <w:tc>
          <w:tcPr>
            <w:tcW w:w="666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rPr>
              <w:t>(Address of principal executive offices)</w:t>
            </w: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80" w:type="dxa"/>
            <w:vAlign w:val="bottom"/>
            <w:gridSpan w:val="4"/>
          </w:tcPr>
          <w:p>
            <w:pPr>
              <w:ind w:left="3200"/>
              <w:spacing w:after="0"/>
              <w:rPr>
                <w:sz w:val="20"/>
                <w:szCs w:val="20"/>
                <w:color w:val="auto"/>
              </w:rPr>
            </w:pPr>
            <w:r>
              <w:rPr>
                <w:rFonts w:ascii="Arial" w:cs="Arial" w:eastAsia="Arial" w:hAnsi="Arial"/>
                <w:sz w:val="14"/>
                <w:szCs w:val="14"/>
                <w:b w:val="1"/>
                <w:bCs w:val="1"/>
                <w:color w:val="auto"/>
              </w:rPr>
              <w:t>Registrant’s telephone number, including area code: (206) 456-2900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6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34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40" w:type="dxa"/>
            <w:vAlign w:val="bottom"/>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rPr>
              <w:t>Trading</w:t>
            </w:r>
          </w:p>
        </w:tc>
        <w:tc>
          <w:tcPr>
            <w:tcW w:w="2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320" w:type="dxa"/>
            <w:vAlign w:val="bottom"/>
          </w:tcPr>
          <w:p>
            <w:pPr>
              <w:jc w:val="center"/>
              <w:ind w:right="268"/>
              <w:spacing w:after="0" w:line="129" w:lineRule="exact"/>
              <w:rPr>
                <w:sz w:val="20"/>
                <w:szCs w:val="20"/>
                <w:color w:val="auto"/>
              </w:rPr>
            </w:pPr>
            <w:r>
              <w:rPr>
                <w:rFonts w:ascii="Arial" w:cs="Arial" w:eastAsia="Arial" w:hAnsi="Arial"/>
                <w:sz w:val="14"/>
                <w:szCs w:val="14"/>
                <w:b w:val="1"/>
                <w:bCs w:val="1"/>
                <w:color w:val="auto"/>
              </w:rPr>
              <w:t>Name of each</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32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rPr>
              <w:t>exchange on</w:t>
            </w:r>
          </w:p>
        </w:tc>
        <w:tc>
          <w:tcPr>
            <w:tcW w:w="0" w:type="dxa"/>
            <w:vAlign w:val="bottom"/>
          </w:tcPr>
          <w:p>
            <w:pPr>
              <w:spacing w:after="0"/>
              <w:rPr>
                <w:sz w:val="1"/>
                <w:szCs w:val="1"/>
                <w:color w:val="auto"/>
              </w:rPr>
            </w:pPr>
          </w:p>
        </w:tc>
      </w:tr>
      <w:tr>
        <w:trPr>
          <w:trHeight w:val="189"/>
        </w:trPr>
        <w:tc>
          <w:tcPr>
            <w:tcW w:w="6620" w:type="dxa"/>
            <w:vAlign w:val="bottom"/>
            <w:tcBorders>
              <w:bottom w:val="single" w:sz="8" w:color="auto"/>
              <w:right w:val="single" w:sz="8" w:color="auto"/>
            </w:tcBorders>
            <w:gridSpan w:val="2"/>
          </w:tcPr>
          <w:p>
            <w:pPr>
              <w:ind w:left="2680"/>
              <w:spacing w:after="0"/>
              <w:rPr>
                <w:sz w:val="20"/>
                <w:szCs w:val="20"/>
                <w:color w:val="auto"/>
              </w:rPr>
            </w:pPr>
            <w:r>
              <w:rPr>
                <w:rFonts w:ascii="Arial" w:cs="Arial" w:eastAsia="Arial" w:hAnsi="Arial"/>
                <w:sz w:val="14"/>
                <w:szCs w:val="14"/>
                <w:b w:val="1"/>
                <w:bCs w:val="1"/>
                <w:color w:val="auto"/>
              </w:rPr>
              <w:t>Title of each class</w:t>
            </w:r>
          </w:p>
        </w:tc>
        <w:tc>
          <w:tcPr>
            <w:tcW w:w="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rPr>
              <w:t>Symbol(s)</w:t>
            </w:r>
          </w:p>
        </w:tc>
        <w:tc>
          <w:tcPr>
            <w:tcW w:w="220" w:type="dxa"/>
            <w:vAlign w:val="bottom"/>
            <w:tcBorders>
              <w:bottom w:val="single" w:sz="8" w:color="auto"/>
              <w:right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which registered</w:t>
            </w:r>
          </w:p>
        </w:tc>
        <w:tc>
          <w:tcPr>
            <w:tcW w:w="0" w:type="dxa"/>
            <w:vAlign w:val="bottom"/>
          </w:tcPr>
          <w:p>
            <w:pPr>
              <w:spacing w:after="0"/>
              <w:rPr>
                <w:sz w:val="1"/>
                <w:szCs w:val="1"/>
                <w:color w:val="auto"/>
              </w:rPr>
            </w:pPr>
          </w:p>
        </w:tc>
      </w:tr>
      <w:tr>
        <w:trPr>
          <w:trHeight w:val="155"/>
        </w:trPr>
        <w:tc>
          <w:tcPr>
            <w:tcW w:w="6620" w:type="dxa"/>
            <w:vAlign w:val="bottom"/>
            <w:tcBorders>
              <w:bottom w:val="single" w:sz="8" w:color="auto"/>
              <w:right w:val="single" w:sz="8" w:color="auto"/>
            </w:tcBorders>
            <w:gridSpan w:val="2"/>
          </w:tcPr>
          <w:p>
            <w:pPr>
              <w:spacing w:after="0" w:line="155" w:lineRule="exact"/>
              <w:rPr>
                <w:sz w:val="20"/>
                <w:szCs w:val="20"/>
                <w:color w:val="auto"/>
              </w:rPr>
            </w:pPr>
            <w:r>
              <w:rPr>
                <w:rFonts w:ascii="Arial" w:cs="Arial" w:eastAsia="Arial" w:hAnsi="Arial"/>
                <w:sz w:val="14"/>
                <w:szCs w:val="14"/>
                <w:color w:val="auto"/>
              </w:rPr>
              <w:t>Common Stock, par value $0.0001 per share</w:t>
            </w:r>
          </w:p>
        </w:tc>
        <w:tc>
          <w:tcPr>
            <w:tcW w:w="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left="188"/>
              <w:spacing w:after="0" w:line="155" w:lineRule="exact"/>
              <w:rPr>
                <w:sz w:val="20"/>
                <w:szCs w:val="20"/>
                <w:color w:val="auto"/>
              </w:rPr>
            </w:pPr>
            <w:r>
              <w:rPr>
                <w:rFonts w:ascii="Arial" w:cs="Arial" w:eastAsia="Arial" w:hAnsi="Arial"/>
                <w:sz w:val="14"/>
                <w:szCs w:val="14"/>
                <w:color w:val="auto"/>
                <w:w w:val="98"/>
              </w:rPr>
              <w:t>SBTX</w:t>
            </w:r>
          </w:p>
        </w:tc>
        <w:tc>
          <w:tcPr>
            <w:tcW w:w="22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jc w:val="center"/>
              <w:ind w:right="248"/>
              <w:spacing w:after="0" w:line="155" w:lineRule="exact"/>
              <w:rPr>
                <w:sz w:val="20"/>
                <w:szCs w:val="20"/>
                <w:color w:val="auto"/>
              </w:rPr>
            </w:pPr>
            <w:r>
              <w:rPr>
                <w:rFonts w:ascii="Arial" w:cs="Arial" w:eastAsia="Arial" w:hAnsi="Arial"/>
                <w:sz w:val="14"/>
                <w:szCs w:val="14"/>
                <w:color w:val="auto"/>
              </w:rPr>
              <w:t>The Nasdaq Global Market</w:t>
            </w:r>
          </w:p>
        </w:tc>
        <w:tc>
          <w:tcPr>
            <w:tcW w:w="0" w:type="dxa"/>
            <w:vAlign w:val="bottom"/>
          </w:tcPr>
          <w:p>
            <w:pPr>
              <w:spacing w:after="0"/>
              <w:rPr>
                <w:sz w:val="1"/>
                <w:szCs w:val="1"/>
                <w:color w:val="auto"/>
              </w:rPr>
            </w:pPr>
          </w:p>
        </w:tc>
      </w:tr>
      <w:tr>
        <w:trPr>
          <w:trHeight w:val="20"/>
        </w:trPr>
        <w:tc>
          <w:tcPr>
            <w:tcW w:w="66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60" w:type="dxa"/>
            <w:vAlign w:val="bottom"/>
            <w:gridSpan w:val="3"/>
          </w:tcPr>
          <w:p>
            <w:pPr>
              <w:ind w:left="54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80" w:type="dxa"/>
            <w:vAlign w:val="bottom"/>
            <w:gridSpan w:val="4"/>
          </w:tcPr>
          <w:p>
            <w:pPr>
              <w:ind w:left="5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620" w:type="dxa"/>
            <w:vAlign w:val="bottom"/>
            <w:gridSpan w:val="2"/>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3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0"/>
        </w:trPr>
        <w:tc>
          <w:tcPr>
            <w:tcW w:w="8080" w:type="dxa"/>
            <w:vAlign w:val="bottom"/>
            <w:gridSpan w:val="4"/>
          </w:tcPr>
          <w:p>
            <w:pPr>
              <w:ind w:left="54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Act.  YES</w:t>
            </w:r>
          </w:p>
        </w:tc>
        <w:tc>
          <w:tcPr>
            <w:tcW w:w="620" w:type="dxa"/>
            <w:vAlign w:val="bottom"/>
            <w:gridSpan w:val="2"/>
          </w:tcPr>
          <w:p>
            <w:pPr>
              <w:jc w:val="center"/>
              <w:ind w:righ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232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120" w:right="140" w:firstLine="551"/>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left="120"/>
        <w:spacing w:after="0" w:line="161" w:lineRule="exact"/>
        <w:tabs>
          <w:tab w:leader="none" w:pos="800" w:val="left"/>
          <w:tab w:leader="none" w:pos="14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860" w:firstLine="551"/>
        <w:spacing w:after="0" w:line="23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ind w:left="120"/>
        <w:spacing w:after="0" w:line="161" w:lineRule="exact"/>
        <w:tabs>
          <w:tab w:leader="none" w:pos="600" w:val="left"/>
          <w:tab w:leader="none" w:pos="126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00" w:firstLine="551"/>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120" w:type="dxa"/>
        <w:tblCellMar>
          <w:top w:w="0" w:type="dxa"/>
          <w:left w:w="0" w:type="dxa"/>
          <w:bottom w:w="0" w:type="dxa"/>
          <w:right w:w="0" w:type="dxa"/>
        </w:tblCellMar>
      </w:tblPr>
      <w:tr>
        <w:trPr>
          <w:trHeight w:val="175"/>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35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41" w:lineRule="exact"/>
        <w:rPr>
          <w:sz w:val="24"/>
          <w:szCs w:val="24"/>
          <w:color w:val="auto"/>
        </w:rPr>
      </w:pPr>
    </w:p>
    <w:p>
      <w:pPr>
        <w:jc w:val="both"/>
        <w:ind w:left="120" w:right="120" w:firstLine="551"/>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220" w:firstLine="551"/>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 w:lineRule="exact"/>
        <w:rPr>
          <w:sz w:val="24"/>
          <w:szCs w:val="24"/>
          <w:color w:val="auto"/>
        </w:rPr>
      </w:pPr>
    </w:p>
    <w:p>
      <w:pPr>
        <w:ind w:left="660"/>
        <w:spacing w:after="0" w:line="161" w:lineRule="exact"/>
        <w:tabs>
          <w:tab w:leader="none" w:pos="8040" w:val="left"/>
          <w:tab w:leader="none" w:pos="87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6" w:lineRule="exact"/>
        <w:rPr>
          <w:sz w:val="24"/>
          <w:szCs w:val="24"/>
          <w:color w:val="auto"/>
        </w:rPr>
      </w:pPr>
    </w:p>
    <w:p>
      <w:pPr>
        <w:ind w:left="660"/>
        <w:spacing w:after="0"/>
        <w:rPr>
          <w:sz w:val="20"/>
          <w:szCs w:val="20"/>
          <w:color w:val="auto"/>
        </w:rPr>
      </w:pPr>
      <w:r>
        <w:rPr>
          <w:rFonts w:ascii="Arial" w:cs="Arial" w:eastAsia="Arial" w:hAnsi="Arial"/>
          <w:sz w:val="14"/>
          <w:szCs w:val="14"/>
          <w:color w:val="auto"/>
        </w:rPr>
        <w:t>The registrant’s common stock was not publicly traded as of the last business day of the registrant’s most recently completed second fiscal quarter.</w:t>
      </w:r>
    </w:p>
    <w:p>
      <w:pPr>
        <w:spacing w:after="0" w:line="55" w:lineRule="exact"/>
        <w:rPr>
          <w:sz w:val="24"/>
          <w:szCs w:val="24"/>
          <w:color w:val="auto"/>
        </w:rPr>
      </w:pPr>
    </w:p>
    <w:p>
      <w:pPr>
        <w:ind w:left="660"/>
        <w:spacing w:after="0"/>
        <w:rPr>
          <w:sz w:val="20"/>
          <w:szCs w:val="20"/>
          <w:color w:val="auto"/>
        </w:rPr>
      </w:pPr>
      <w:r>
        <w:rPr>
          <w:rFonts w:ascii="Arial" w:cs="Arial" w:eastAsia="Arial" w:hAnsi="Arial"/>
          <w:sz w:val="14"/>
          <w:szCs w:val="14"/>
          <w:color w:val="auto"/>
        </w:rPr>
        <w:t>The number of shares of Registrant’s Common Stock outstanding as of March 26, 2021 was 34,903,497.</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DOCUMENTS INCORPORATED BY REFERENCE</w:t>
      </w:r>
    </w:p>
    <w:p>
      <w:pPr>
        <w:spacing w:after="0" w:line="37" w:lineRule="exact"/>
        <w:rPr>
          <w:sz w:val="24"/>
          <w:szCs w:val="24"/>
          <w:color w:val="auto"/>
        </w:rPr>
      </w:pPr>
    </w:p>
    <w:p>
      <w:pPr>
        <w:ind w:left="120" w:right="520" w:firstLine="551"/>
        <w:spacing w:after="0" w:line="263" w:lineRule="auto"/>
        <w:rPr>
          <w:sz w:val="20"/>
          <w:szCs w:val="20"/>
          <w:color w:val="auto"/>
        </w:rPr>
      </w:pPr>
      <w:r>
        <w:rPr>
          <w:rFonts w:ascii="Arial" w:cs="Arial" w:eastAsia="Arial" w:hAnsi="Arial"/>
          <w:sz w:val="14"/>
          <w:szCs w:val="14"/>
          <w:b w:val="1"/>
          <w:bCs w:val="1"/>
          <w:color w:val="auto"/>
        </w:rPr>
        <w:t>Portions of the registrant’s definitive proxy statement for its 2021 Annual Meeting of Stockholders, which the registrant intends to file pursuant to Regulation 14A with the Securities and Exchange Commission not later than 120 days after the registrant’s fiscal year ended December 31, 2020,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60" w:type="dxa"/>
            <w:vAlign w:val="bottom"/>
            <w:gridSpan w:val="9"/>
          </w:tcPr>
          <w:p>
            <w:pPr>
              <w:ind w:left="36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0" w:type="dxa"/>
            <w:vAlign w:val="bottom"/>
            <w:gridSpan w:val="2"/>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620" w:type="dxa"/>
            <w:vAlign w:val="bottom"/>
            <w:gridSpan w:val="5"/>
            <w:vMerge w:val="restart"/>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580" w:type="dxa"/>
            <w:vAlign w:val="bottom"/>
            <w:tcBorders>
              <w:bottom w:val="single" w:sz="8" w:color="0000EE"/>
            </w:tcBorders>
            <w:gridSpan w:val="2"/>
            <w:vMerge w:val="continue"/>
          </w:tcPr>
          <w:p>
            <w:pPr>
              <w:spacing w:after="0"/>
              <w:rPr>
                <w:sz w:val="13"/>
                <w:szCs w:val="13"/>
                <w:color w:val="auto"/>
              </w:rPr>
            </w:pPr>
          </w:p>
        </w:tc>
        <w:tc>
          <w:tcPr>
            <w:tcW w:w="620" w:type="dxa"/>
            <w:vAlign w:val="bottom"/>
            <w:gridSpan w:val="5"/>
            <w:vMerge w:val="continue"/>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1.</w:t>
            </w:r>
          </w:p>
        </w:tc>
        <w:tc>
          <w:tcPr>
            <w:tcW w:w="9360" w:type="dxa"/>
            <w:vAlign w:val="bottom"/>
            <w:gridSpan w:val="21"/>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w:anchor="page65">
              <w:r>
                <w:rPr>
                  <w:rFonts w:ascii="Arial" w:cs="Arial" w:eastAsia="Arial" w:hAnsi="Arial"/>
                  <w:sz w:val="18"/>
                  <w:szCs w:val="18"/>
                  <w:color w:val="0000EE"/>
                  <w:w w:val="97"/>
                </w:rPr>
                <w:t>Risk Factors</w:t>
              </w:r>
            </w:hyperlink>
          </w:p>
        </w:tc>
        <w:tc>
          <w:tcPr>
            <w:tcW w:w="8360" w:type="dxa"/>
            <w:vAlign w:val="bottom"/>
            <w:gridSpan w:val="18"/>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1B.</w:t>
            </w:r>
          </w:p>
        </w:tc>
        <w:tc>
          <w:tcPr>
            <w:tcW w:w="9360" w:type="dxa"/>
            <w:vAlign w:val="bottom"/>
            <w:gridSpan w:val="21"/>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Unresolved Staff Comments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w:anchor="page129">
              <w:r>
                <w:rPr>
                  <w:rFonts w:ascii="Arial" w:cs="Arial" w:eastAsia="Arial" w:hAnsi="Arial"/>
                  <w:sz w:val="18"/>
                  <w:szCs w:val="18"/>
                  <w:color w:val="0000EE"/>
                  <w:w w:val="97"/>
                </w:rPr>
                <w:t>Properties</w:t>
              </w:r>
            </w:hyperlink>
          </w:p>
        </w:tc>
        <w:tc>
          <w:tcPr>
            <w:tcW w:w="1420" w:type="dxa"/>
            <w:vAlign w:val="bottom"/>
            <w:tcBorders>
              <w:top w:val="single" w:sz="8" w:color="0000EE"/>
            </w:tcBorders>
            <w:gridSpan w:val="8"/>
          </w:tcPr>
          <w:p>
            <w:pPr>
              <w:spacing w:after="0"/>
              <w:rPr>
                <w:sz w:val="15"/>
                <w:szCs w:val="15"/>
                <w:color w:val="auto"/>
              </w:rPr>
            </w:pPr>
          </w:p>
        </w:tc>
        <w:tc>
          <w:tcPr>
            <w:tcW w:w="7120" w:type="dxa"/>
            <w:vAlign w:val="bottom"/>
            <w:gridSpan w:val="11"/>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3.</w:t>
            </w:r>
          </w:p>
        </w:tc>
        <w:tc>
          <w:tcPr>
            <w:tcW w:w="9360" w:type="dxa"/>
            <w:vAlign w:val="bottom"/>
            <w:gridSpan w:val="21"/>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Legal Proceedings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4.</w:t>
            </w:r>
          </w:p>
        </w:tc>
        <w:tc>
          <w:tcPr>
            <w:tcW w:w="9360" w:type="dxa"/>
            <w:vAlign w:val="bottom"/>
            <w:gridSpan w:val="21"/>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Mine Safety Disclosures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98"/>
        </w:trPr>
        <w:tc>
          <w:tcPr>
            <w:tcW w:w="1200" w:type="dxa"/>
            <w:vAlign w:val="bottom"/>
            <w:gridSpan w:val="7"/>
          </w:tcPr>
          <w:p>
            <w:pPr>
              <w:spacing w:after="0"/>
              <w:rPr>
                <w:rFonts w:ascii="Arial" w:cs="Arial" w:eastAsia="Arial" w:hAnsi="Arial"/>
                <w:sz w:val="18"/>
                <w:szCs w:val="18"/>
                <w:b w:val="1"/>
                <w:bCs w:val="1"/>
                <w:color w:val="0000EE"/>
              </w:rPr>
            </w:pPr>
            <w:hyperlink w:anchor="page130">
              <w:r>
                <w:rPr>
                  <w:rFonts w:ascii="Arial" w:cs="Arial" w:eastAsia="Arial" w:hAnsi="Arial"/>
                  <w:sz w:val="18"/>
                  <w:szCs w:val="18"/>
                  <w:b w:val="1"/>
                  <w:bCs w:val="1"/>
                  <w:color w:val="0000EE"/>
                </w:rPr>
                <w:t>PART II</w:t>
              </w:r>
            </w:hyperlink>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5.</w:t>
            </w:r>
          </w:p>
        </w:tc>
        <w:tc>
          <w:tcPr>
            <w:tcW w:w="888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130">
              <w:r>
                <w:rPr>
                  <w:rFonts w:ascii="Arial" w:cs="Arial" w:eastAsia="Arial" w:hAnsi="Arial"/>
                  <w:sz w:val="18"/>
                  <w:szCs w:val="18"/>
                  <w:color w:val="0000EE"/>
                  <w:w w:val="99"/>
                </w:rPr>
                <w:t>Market for Registrant’s Common Equity, Related Stockholder Matters and Issuer Purchases of Equity Securities</w:t>
              </w:r>
            </w:hyperlink>
          </w:p>
        </w:tc>
        <w:tc>
          <w:tcPr>
            <w:tcW w:w="480" w:type="dxa"/>
            <w:vAlign w:val="bottom"/>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6.</w:t>
            </w:r>
          </w:p>
        </w:tc>
        <w:tc>
          <w:tcPr>
            <w:tcW w:w="190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w:anchor="page131">
              <w:r>
                <w:rPr>
                  <w:rFonts w:ascii="Arial" w:cs="Arial" w:eastAsia="Arial" w:hAnsi="Arial"/>
                  <w:sz w:val="18"/>
                  <w:szCs w:val="18"/>
                  <w:color w:val="0000EE"/>
                  <w:w w:val="98"/>
                </w:rPr>
                <w:t>Selected Financial Data</w:t>
              </w:r>
            </w:hyperlink>
          </w:p>
        </w:tc>
        <w:tc>
          <w:tcPr>
            <w:tcW w:w="7460" w:type="dxa"/>
            <w:vAlign w:val="bottom"/>
            <w:gridSpan w:val="14"/>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132">
              <w:r>
                <w:rPr>
                  <w:rFonts w:ascii="Arial" w:cs="Arial" w:eastAsia="Arial" w:hAnsi="Arial"/>
                  <w:sz w:val="18"/>
                  <w:szCs w:val="18"/>
                  <w:color w:val="0000EE"/>
                  <w:w w:val="99"/>
                </w:rPr>
                <w:t>Management’s Discussion and Analysis of Financial Condition and Results of Operations</w:t>
              </w:r>
            </w:hyperlink>
          </w:p>
        </w:tc>
        <w:tc>
          <w:tcPr>
            <w:tcW w:w="2280" w:type="dxa"/>
            <w:vAlign w:val="bottom"/>
            <w:gridSpan w:val="4"/>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7A.</w:t>
            </w:r>
          </w:p>
        </w:tc>
        <w:tc>
          <w:tcPr>
            <w:tcW w:w="9360" w:type="dxa"/>
            <w:vAlign w:val="bottom"/>
            <w:gridSpan w:val="21"/>
          </w:tcPr>
          <w:p>
            <w:pPr>
              <w:spacing w:after="0" w:line="182" w:lineRule="exact"/>
              <w:rPr>
                <w:rFonts w:ascii="Arial" w:cs="Arial" w:eastAsia="Arial" w:hAnsi="Arial"/>
                <w:sz w:val="18"/>
                <w:szCs w:val="18"/>
                <w:color w:val="0000EE"/>
              </w:rPr>
            </w:pPr>
            <w:hyperlink w:anchor="page143">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8.</w:t>
            </w:r>
          </w:p>
        </w:tc>
        <w:tc>
          <w:tcPr>
            <w:tcW w:w="37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w:anchor="page144">
              <w:r>
                <w:rPr>
                  <w:rFonts w:ascii="Arial" w:cs="Arial" w:eastAsia="Arial" w:hAnsi="Arial"/>
                  <w:sz w:val="18"/>
                  <w:szCs w:val="18"/>
                  <w:color w:val="0000EE"/>
                  <w:w w:val="99"/>
                </w:rPr>
                <w:t>Financial Statements and Supplementary Data</w:t>
              </w:r>
            </w:hyperlink>
          </w:p>
        </w:tc>
        <w:tc>
          <w:tcPr>
            <w:tcW w:w="980" w:type="dxa"/>
            <w:vAlign w:val="bottom"/>
            <w:tcBorders>
              <w:top w:val="single" w:sz="8" w:color="0000EE"/>
            </w:tcBorders>
            <w:gridSpan w:val="2"/>
          </w:tcPr>
          <w:p>
            <w:pPr>
              <w:spacing w:after="0"/>
              <w:rPr>
                <w:sz w:val="15"/>
                <w:szCs w:val="15"/>
                <w:color w:val="auto"/>
              </w:rPr>
            </w:pPr>
          </w:p>
        </w:tc>
        <w:tc>
          <w:tcPr>
            <w:tcW w:w="4660" w:type="dxa"/>
            <w:vAlign w:val="bottom"/>
            <w:gridSpan w:val="6"/>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9.</w:t>
            </w:r>
          </w:p>
        </w:tc>
        <w:tc>
          <w:tcPr>
            <w:tcW w:w="9360" w:type="dxa"/>
            <w:vAlign w:val="bottom"/>
            <w:gridSpan w:val="21"/>
          </w:tcPr>
          <w:p>
            <w:pPr>
              <w:spacing w:after="0" w:line="182" w:lineRule="exact"/>
              <w:rPr>
                <w:rFonts w:ascii="Arial" w:cs="Arial" w:eastAsia="Arial" w:hAnsi="Arial"/>
                <w:sz w:val="18"/>
                <w:szCs w:val="18"/>
                <w:color w:val="0000EE"/>
              </w:rPr>
            </w:pPr>
            <w:hyperlink w:anchor="page169">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9A.</w:t>
            </w:r>
          </w:p>
        </w:tc>
        <w:tc>
          <w:tcPr>
            <w:tcW w:w="71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69">
              <w:r>
                <w:rPr>
                  <w:rFonts w:ascii="Arial" w:cs="Arial" w:eastAsia="Arial" w:hAnsi="Arial"/>
                  <w:sz w:val="18"/>
                  <w:szCs w:val="18"/>
                  <w:color w:val="0000EE"/>
                </w:rPr>
                <w:t>Controls and Procedures</w:t>
              </w:r>
            </w:hyperlink>
          </w:p>
        </w:tc>
        <w:tc>
          <w:tcPr>
            <w:tcW w:w="2200" w:type="dxa"/>
            <w:vAlign w:val="bottom"/>
            <w:gridSpan w:val="3"/>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9B.</w:t>
            </w:r>
          </w:p>
        </w:tc>
        <w:tc>
          <w:tcPr>
            <w:tcW w:w="19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69">
              <w:r>
                <w:rPr>
                  <w:rFonts w:ascii="Arial" w:cs="Arial" w:eastAsia="Arial" w:hAnsi="Arial"/>
                  <w:sz w:val="18"/>
                  <w:szCs w:val="18"/>
                  <w:color w:val="0000EE"/>
                </w:rPr>
                <w:t>Other Information</w:t>
              </w:r>
            </w:hyperlink>
          </w:p>
        </w:tc>
        <w:tc>
          <w:tcPr>
            <w:tcW w:w="7380" w:type="dxa"/>
            <w:vAlign w:val="bottom"/>
            <w:gridSpan w:val="12"/>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398"/>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5"/>
              </w:rPr>
            </w:pPr>
            <w:hyperlink w:anchor="page170">
              <w:r>
                <w:rPr>
                  <w:rFonts w:ascii="Arial" w:cs="Arial" w:eastAsia="Arial" w:hAnsi="Arial"/>
                  <w:sz w:val="18"/>
                  <w:szCs w:val="18"/>
                  <w:b w:val="1"/>
                  <w:bCs w:val="1"/>
                  <w:color w:val="0000EE"/>
                  <w:w w:val="95"/>
                </w:rPr>
                <w:t>PART III</w:t>
              </w:r>
            </w:hyperlink>
          </w:p>
        </w:tc>
        <w:tc>
          <w:tcPr>
            <w:tcW w:w="520" w:type="dxa"/>
            <w:vAlign w:val="bottom"/>
            <w:gridSpan w:val="3"/>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70">
              <w:r>
                <w:rPr>
                  <w:rFonts w:ascii="Arial" w:cs="Arial" w:eastAsia="Arial" w:hAnsi="Arial"/>
                  <w:sz w:val="18"/>
                  <w:szCs w:val="18"/>
                  <w:color w:val="0000EE"/>
                  <w:w w:val="99"/>
                </w:rPr>
                <w:t>Directors, Executive Officers and Corporate Governance</w:t>
              </w:r>
            </w:hyperlink>
          </w:p>
        </w:tc>
        <w:tc>
          <w:tcPr>
            <w:tcW w:w="4860" w:type="dxa"/>
            <w:vAlign w:val="bottom"/>
            <w:gridSpan w:val="7"/>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11.</w:t>
            </w:r>
          </w:p>
        </w:tc>
        <w:tc>
          <w:tcPr>
            <w:tcW w:w="9360" w:type="dxa"/>
            <w:vAlign w:val="bottom"/>
            <w:gridSpan w:val="21"/>
          </w:tcPr>
          <w:p>
            <w:pPr>
              <w:spacing w:after="0" w:line="182" w:lineRule="exact"/>
              <w:rPr>
                <w:rFonts w:ascii="Arial" w:cs="Arial" w:eastAsia="Arial" w:hAnsi="Arial"/>
                <w:sz w:val="18"/>
                <w:szCs w:val="18"/>
                <w:color w:val="0000EE"/>
              </w:rPr>
            </w:pPr>
            <w:hyperlink w:anchor="page170">
              <w:r>
                <w:rPr>
                  <w:rFonts w:ascii="Arial" w:cs="Arial" w:eastAsia="Arial" w:hAnsi="Arial"/>
                  <w:sz w:val="18"/>
                  <w:szCs w:val="18"/>
                  <w:color w:val="0000EE"/>
                </w:rPr>
                <w:t>Executive Compensation</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12.</w:t>
            </w:r>
          </w:p>
        </w:tc>
        <w:tc>
          <w:tcPr>
            <w:tcW w:w="9360" w:type="dxa"/>
            <w:vAlign w:val="bottom"/>
            <w:gridSpan w:val="21"/>
          </w:tcPr>
          <w:p>
            <w:pPr>
              <w:spacing w:after="0" w:line="182" w:lineRule="exact"/>
              <w:rPr>
                <w:rFonts w:ascii="Arial" w:cs="Arial" w:eastAsia="Arial" w:hAnsi="Arial"/>
                <w:sz w:val="18"/>
                <w:szCs w:val="18"/>
                <w:color w:val="0000EE"/>
              </w:rPr>
            </w:pPr>
            <w:hyperlink w:anchor="page170">
              <w:r>
                <w:rPr>
                  <w:rFonts w:ascii="Arial" w:cs="Arial" w:eastAsia="Arial" w:hAnsi="Arial"/>
                  <w:sz w:val="18"/>
                  <w:szCs w:val="18"/>
                  <w:color w:val="0000EE"/>
                </w:rPr>
                <w:t>Security Ownership of Certain Beneficial Owners and Management and Related Stockholder Matters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13.</w:t>
            </w:r>
          </w:p>
        </w:tc>
        <w:tc>
          <w:tcPr>
            <w:tcW w:w="60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9"/>
              </w:rPr>
            </w:pPr>
            <w:hyperlink w:anchor="page170">
              <w:r>
                <w:rPr>
                  <w:rFonts w:ascii="Arial" w:cs="Arial" w:eastAsia="Arial" w:hAnsi="Arial"/>
                  <w:sz w:val="18"/>
                  <w:szCs w:val="18"/>
                  <w:color w:val="0000EE"/>
                  <w:w w:val="99"/>
                </w:rPr>
                <w:t>Certain Relationships and Related Transactions, and Director Independence</w:t>
              </w:r>
            </w:hyperlink>
          </w:p>
        </w:tc>
        <w:tc>
          <w:tcPr>
            <w:tcW w:w="1920" w:type="dxa"/>
            <w:vAlign w:val="bottom"/>
            <w:tcBorders>
              <w:top w:val="single" w:sz="8" w:color="0000EE"/>
            </w:tcBorders>
            <w:gridSpan w:val="3"/>
          </w:tcPr>
          <w:p>
            <w:pPr>
              <w:spacing w:after="0"/>
              <w:rPr>
                <w:sz w:val="15"/>
                <w:szCs w:val="15"/>
                <w:color w:val="auto"/>
              </w:rPr>
            </w:pPr>
          </w:p>
        </w:tc>
        <w:tc>
          <w:tcPr>
            <w:tcW w:w="1360" w:type="dxa"/>
            <w:vAlign w:val="bottom"/>
            <w:gridSpan w:val="2"/>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14.</w:t>
            </w:r>
          </w:p>
        </w:tc>
        <w:tc>
          <w:tcPr>
            <w:tcW w:w="9360" w:type="dxa"/>
            <w:vAlign w:val="bottom"/>
            <w:gridSpan w:val="21"/>
          </w:tcPr>
          <w:p>
            <w:pPr>
              <w:spacing w:after="0" w:line="182" w:lineRule="exact"/>
              <w:rPr>
                <w:rFonts w:ascii="Arial" w:cs="Arial" w:eastAsia="Arial" w:hAnsi="Arial"/>
                <w:sz w:val="18"/>
                <w:szCs w:val="18"/>
                <w:color w:val="0000EE"/>
              </w:rPr>
            </w:pPr>
            <w:hyperlink w:anchor="page170">
              <w:r>
                <w:rPr>
                  <w:rFonts w:ascii="Arial" w:cs="Arial" w:eastAsia="Arial" w:hAnsi="Arial"/>
                  <w:sz w:val="18"/>
                  <w:szCs w:val="18"/>
                  <w:color w:val="0000EE"/>
                </w:rPr>
                <w:t>Principal Accountant Fees and Services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399"/>
        </w:trPr>
        <w:tc>
          <w:tcPr>
            <w:tcW w:w="700" w:type="dxa"/>
            <w:vAlign w:val="bottom"/>
            <w:tcBorders>
              <w:bottom w:val="single" w:sz="8" w:color="0000EE"/>
            </w:tcBorders>
            <w:gridSpan w:val="5"/>
          </w:tcPr>
          <w:p>
            <w:pPr>
              <w:spacing w:after="0"/>
              <w:rPr>
                <w:rFonts w:ascii="Arial" w:cs="Arial" w:eastAsia="Arial" w:hAnsi="Arial"/>
                <w:sz w:val="18"/>
                <w:szCs w:val="18"/>
                <w:b w:val="1"/>
                <w:bCs w:val="1"/>
                <w:color w:val="0000EE"/>
                <w:w w:val="95"/>
              </w:rPr>
            </w:pPr>
            <w:hyperlink w:anchor="page171">
              <w:r>
                <w:rPr>
                  <w:rFonts w:ascii="Arial" w:cs="Arial" w:eastAsia="Arial" w:hAnsi="Arial"/>
                  <w:sz w:val="18"/>
                  <w:szCs w:val="18"/>
                  <w:b w:val="1"/>
                  <w:bCs w:val="1"/>
                  <w:color w:val="0000EE"/>
                  <w:w w:val="95"/>
                </w:rPr>
                <w:t>PART IV</w:t>
              </w:r>
            </w:hyperlink>
          </w:p>
        </w:tc>
        <w:tc>
          <w:tcPr>
            <w:tcW w:w="500" w:type="dxa"/>
            <w:vAlign w:val="bottom"/>
            <w:gridSpan w:val="2"/>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15.</w:t>
            </w:r>
          </w:p>
        </w:tc>
        <w:tc>
          <w:tcPr>
            <w:tcW w:w="9360" w:type="dxa"/>
            <w:vAlign w:val="bottom"/>
            <w:gridSpan w:val="21"/>
          </w:tcPr>
          <w:p>
            <w:pPr>
              <w:spacing w:after="0" w:line="182" w:lineRule="exact"/>
              <w:rPr>
                <w:rFonts w:ascii="Arial" w:cs="Arial" w:eastAsia="Arial" w:hAnsi="Arial"/>
                <w:sz w:val="18"/>
                <w:szCs w:val="18"/>
                <w:color w:val="0000EE"/>
              </w:rPr>
            </w:pPr>
            <w:hyperlink w:anchor="page171">
              <w:r>
                <w:rPr>
                  <w:rFonts w:ascii="Arial" w:cs="Arial" w:eastAsia="Arial" w:hAnsi="Arial"/>
                  <w:sz w:val="18"/>
                  <w:szCs w:val="18"/>
                  <w:color w:val="0000EE"/>
                </w:rPr>
                <w:t>Exhibits, Financial Statement Schedules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20" w:type="dxa"/>
            <w:vAlign w:val="bottom"/>
            <w:gridSpan w:val="6"/>
          </w:tcPr>
          <w:p>
            <w:pPr>
              <w:spacing w:after="0" w:line="182" w:lineRule="exact"/>
              <w:rPr>
                <w:sz w:val="20"/>
                <w:szCs w:val="20"/>
                <w:color w:val="auto"/>
              </w:rPr>
            </w:pPr>
            <w:r>
              <w:rPr>
                <w:rFonts w:ascii="Arial" w:cs="Arial" w:eastAsia="Arial" w:hAnsi="Arial"/>
                <w:sz w:val="18"/>
                <w:szCs w:val="18"/>
                <w:color w:val="auto"/>
              </w:rPr>
              <w:t>Item 16</w:t>
            </w:r>
          </w:p>
        </w:tc>
        <w:tc>
          <w:tcPr>
            <w:tcW w:w="32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Form 10-K Summary</w:t>
              </w:r>
            </w:hyperlink>
          </w:p>
        </w:tc>
        <w:tc>
          <w:tcPr>
            <w:tcW w:w="6160" w:type="dxa"/>
            <w:vAlign w:val="bottom"/>
            <w:gridSpan w:val="9"/>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615"/>
        </w:trPr>
        <w:tc>
          <w:tcPr>
            <w:tcW w:w="180" w:type="dxa"/>
            <w:vAlign w:val="bottom"/>
          </w:tcPr>
          <w:p>
            <w:pPr>
              <w:spacing w:after="0"/>
              <w:rPr>
                <w:sz w:val="24"/>
                <w:szCs w:val="24"/>
                <w:color w:val="auto"/>
              </w:rPr>
            </w:pPr>
          </w:p>
        </w:tc>
        <w:tc>
          <w:tcPr>
            <w:tcW w:w="8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74">
              <w:r>
                <w:rPr>
                  <w:rFonts w:ascii="Arial" w:cs="Arial" w:eastAsia="Arial" w:hAnsi="Arial"/>
                  <w:sz w:val="18"/>
                  <w:szCs w:val="18"/>
                  <w:color w:val="0000EE"/>
                  <w:w w:val="97"/>
                </w:rPr>
                <w:t>Signatures</w:t>
              </w:r>
            </w:hyperlink>
          </w:p>
        </w:tc>
        <w:tc>
          <w:tcPr>
            <w:tcW w:w="16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This Annual Report on Form 10-K and the information incorporated herein by reference contain forward-looking statements that involve a number of risks and uncertainties, many of which are beyond our control. Although our forward-looking statements reflect the good faith judgment of our management, these statements can only be based on facts and factors currently known by us. Consequently, these forward-looking statements are inherently subject to risks and uncertainties, and actual results and outcomes may differ materially from results and outcomes discussed in the forward-looking statements as a result of various factors, including those set forth below under the caption “Risk Factors.”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include, but are not limited to, statements regarding:</w:t>
      </w:r>
    </w:p>
    <w:p>
      <w:pPr>
        <w:spacing w:after="0" w:line="117" w:lineRule="exact"/>
        <w:rPr>
          <w:sz w:val="20"/>
          <w:szCs w:val="20"/>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SBT6050 and any future product candidates;</w:t>
      </w:r>
    </w:p>
    <w:p>
      <w:pPr>
        <w:spacing w:after="0" w:line="117"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product candidates arising from our ImmunoTAC technology platform, including SBT6050, in any of the indications for which we plan to develop them;</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commence and complete the clinical trials, conduct additional manufacturing and conduct preclinical studies of any of our product candidates, including SBT6050;</w:t>
      </w:r>
    </w:p>
    <w:p>
      <w:pPr>
        <w:spacing w:after="0" w:line="102" w:lineRule="exact"/>
        <w:rPr>
          <w:rFonts w:ascii="Arial" w:cs="Arial" w:eastAsia="Arial" w:hAnsi="Arial"/>
          <w:sz w:val="18"/>
          <w:szCs w:val="18"/>
          <w:color w:val="auto"/>
        </w:rPr>
      </w:pPr>
    </w:p>
    <w:p>
      <w:pPr>
        <w:ind w:left="880" w:right="340" w:hanging="224"/>
        <w:spacing w:after="0" w:line="24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research and development activities, including our ongoing and planned clinical trials and preclinical studies;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markets for our product candidates, and our ability to serve those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sales and marketing capabilities, whether alone or with potential future collaborators;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service providers, including our CROs, suppliers and manufacturers;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market success of competing therapies that are or become available;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and management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collaborators with development, regulatory and commercialization expertise;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capital requirements and needs for additional financing;</w:t>
      </w:r>
    </w:p>
    <w:p>
      <w:pPr>
        <w:spacing w:after="0" w:line="117"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 and our ability to operate our business without infringing on the intellectual property rights of others;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In addition, statements that “we believe” and similar statements reflect our beliefs and opinions on the relevant subject. These forward-looking statements are subject to a number of known and unknown risks, uncertainties and assumptions described in the sections of this Annual Report on Form 10-K titled “Risk Factors” and “Management’s Discussion and Analysis of Financial Condition and Results of Operations” and elsewhere in this report. We discuss many of the risks associated with the forward-looking statements in this Annual Report on Form 10-K in greater detail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You should be aware that the occurrence of any of the events discussed under the caption “Risk Factors” and elsewhere in this report could substantially harm our business, results of operations and financial condition and that if any of these events occurs, the trading price of our common stock could decline and you could lose all or a part of the value of your shares of our common stock.</w:t>
      </w:r>
    </w:p>
    <w:p>
      <w:pPr>
        <w:spacing w:after="0" w:line="21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cautionary statements made in this report are intended to be applicable to all related forward-looking statements wherever they may appear in this Annual Report on Form 10-K. We urge you not to place undue reliance on these forward-looking statements, which speak only as of the date of this Annual Report on Form 10-K. For all forward-looking statements, we claim the protection of the safe harbor for forward-looking statements contained in the Private Securities Litigation Reform Act of 1995. Except as required by law, we assume no obligation to update our forward-looking statements publicly, or to update the reasons actual results could differ materially from those anticipated in any forward-looking statements, whether as a result of new information, future events or otherwise.</w:t>
      </w:r>
    </w:p>
    <w:p>
      <w:pPr>
        <w:spacing w:after="0" w:line="20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This Annual Report on Form 10-K also contains estimates, projections and other information concerning our industry, our business, and the markets for our product candidates, including data regarding the estimated size of markets for oncology therapeutics and the incidence of certain medical conditions, statements that certain drugs, classes of drugs, or dosages are widely prescribed in the United States or other markets, statements regarding the perceptions and preferences of patients and physicians regarding certain therapies and other prescription, prescriber and patient data,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You should read the following together with the more detailed information regarding our company, our common stock and our financial statements and notes to those statements appearing elsewhere in this report or incorporated by reference. The Securities and Exchange Commission, or SEC, allows us to “incorporate by reference” information that we file with the SEC, which means that we can disclose important information to you by referring you to those documents. The information incorporated by reference is considered to be part of this report.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Summary</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Below is a summary of the material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under Part I, Item 1A of this Annual Report and should be carefully considered, together with other information in this Annual Report before making investment decisions regarding our common stock.</w:t>
      </w:r>
    </w:p>
    <w:p>
      <w:pPr>
        <w:spacing w:after="0" w:line="110" w:lineRule="exact"/>
        <w:rPr>
          <w:sz w:val="20"/>
          <w:szCs w:val="20"/>
          <w:color w:val="auto"/>
        </w:rPr>
      </w:pPr>
    </w:p>
    <w:p>
      <w:pPr>
        <w:ind w:left="880" w:right="32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net losses since our inception, and anticipate that we will continue to incur significant losses for the foreseeable future. We may never generate any revenue or become profitable or, if we achieve profitability, may not be able to sustain it.</w:t>
      </w:r>
    </w:p>
    <w:p>
      <w:pPr>
        <w:spacing w:after="0" w:line="108" w:lineRule="exact"/>
        <w:rPr>
          <w:rFonts w:ascii="Arial" w:cs="Arial" w:eastAsia="Arial" w:hAnsi="Arial"/>
          <w:sz w:val="18"/>
          <w:szCs w:val="18"/>
          <w:color w:val="auto"/>
        </w:rPr>
      </w:pPr>
    </w:p>
    <w:p>
      <w:pPr>
        <w:ind w:left="880" w:right="26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Preclinical and clinical development is a lengthy, expensive and uncertain process. The results of preclinical studies and early clinical trials are not always predictive of future results. Any product candidate that we advance into clinical trials, including SBT6050, may not achieve favorable results in later clinical trials, if any, or receive marketing approval.</w:t>
      </w:r>
    </w:p>
    <w:p>
      <w:pPr>
        <w:spacing w:after="0" w:line="108" w:lineRule="exact"/>
        <w:rPr>
          <w:rFonts w:ascii="Arial" w:cs="Arial" w:eastAsia="Arial" w:hAnsi="Arial"/>
          <w:sz w:val="18"/>
          <w:szCs w:val="18"/>
          <w:color w:val="auto"/>
        </w:rPr>
      </w:pPr>
    </w:p>
    <w:p>
      <w:pPr>
        <w:ind w:left="880" w:right="160" w:hanging="224"/>
        <w:spacing w:after="0" w:line="23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07" w:lineRule="exact"/>
        <w:rPr>
          <w:rFonts w:ascii="Arial" w:cs="Arial" w:eastAsia="Arial" w:hAnsi="Arial"/>
          <w:sz w:val="18"/>
          <w:szCs w:val="18"/>
          <w:color w:val="auto"/>
        </w:rPr>
      </w:pPr>
    </w:p>
    <w:p>
      <w:pPr>
        <w:jc w:val="both"/>
        <w:ind w:left="880" w:right="66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108"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are based on novel technologies, which make it difficult to predict the timing, results and cost of product candidate development and likelihood of obtaining regulatory approval.</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required by the FDA to obtain approval of a companion diagnostic test in connection with approval of any of our product candidates, and we do not obtain or face delays in obtaining FDA approval of a diagnostic device, we will not be able to commercialize such product candidate and our ability to generate revenue will be materially impaired.</w:t>
      </w:r>
    </w:p>
    <w:p>
      <w:pPr>
        <w:spacing w:after="0" w:line="108" w:lineRule="exact"/>
        <w:rPr>
          <w:rFonts w:ascii="Arial" w:cs="Arial" w:eastAsia="Arial" w:hAnsi="Arial"/>
          <w:sz w:val="18"/>
          <w:szCs w:val="18"/>
          <w:color w:val="auto"/>
        </w:rPr>
      </w:pPr>
    </w:p>
    <w:p>
      <w:pPr>
        <w:ind w:left="880" w:right="200" w:hanging="224"/>
        <w:spacing w:after="0" w:line="23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we obtain regulatory approval for our product candidates, they will remain subject to ongoing regulatory oversight.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10" w:lineRule="exact"/>
        <w:rPr>
          <w:rFonts w:ascii="Arial" w:cs="Arial" w:eastAsia="Arial" w:hAnsi="Arial"/>
          <w:sz w:val="18"/>
          <w:szCs w:val="18"/>
          <w:color w:val="auto"/>
        </w:rPr>
      </w:pPr>
    </w:p>
    <w:p>
      <w:pPr>
        <w:ind w:left="880" w:right="6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contract with third parties for the manufacturing and supply of certain of our product candidates for use in preclinical testing and clinical trials and will rely on third parties for commercial supply, which supply may become limited or interrupted at any time or may not be of satisfactory quality and quantity.</w:t>
      </w:r>
    </w:p>
    <w:p>
      <w:pPr>
        <w:spacing w:after="0" w:line="108"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approved products may fail to achieve the degree of market acceptance by physicians, patients, hospitals, cancer treatment centers, healthcare payors and others in the medical community necessary for commercial success.</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market opportunities for any of our product candidates are smaller than we believe they are, our revenue may be adversely affected, and our business may suffer.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20" w:hanging="224"/>
        <w:spacing w:after="0" w:line="238"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10" w:lineRule="exact"/>
        <w:rPr>
          <w:rFonts w:ascii="Arial" w:cs="Arial" w:eastAsia="Arial" w:hAnsi="Arial"/>
          <w:sz w:val="18"/>
          <w:szCs w:val="18"/>
          <w:color w:val="auto"/>
        </w:rPr>
      </w:pPr>
    </w:p>
    <w:p>
      <w:pPr>
        <w:ind w:left="880" w:hanging="224"/>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realize the benefits of any acquisitions, in-license or strategic alliances that we enter into.</w:t>
      </w:r>
    </w:p>
    <w:p>
      <w:pPr>
        <w:spacing w:after="0" w:line="117"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rely on trade secret and proprietary know-how which can be difficult to trace and enforce and, if we are unable to protect the confidentiality of our trade secrets, our business and competitive position would be harmed.</w:t>
      </w:r>
    </w:p>
    <w:p>
      <w:pPr>
        <w:spacing w:after="0" w:line="102" w:lineRule="exact"/>
        <w:rPr>
          <w:rFonts w:ascii="Arial" w:cs="Arial" w:eastAsia="Arial" w:hAnsi="Arial"/>
          <w:sz w:val="18"/>
          <w:szCs w:val="18"/>
          <w:color w:val="auto"/>
        </w:rPr>
      </w:pPr>
    </w:p>
    <w:p>
      <w:pPr>
        <w:ind w:left="880" w:right="120" w:hanging="224"/>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any of our product candidates are approved for marketing and commercialization and we are unable to establish sales and marketing capabilities or enter into agreements with third parties to sell and market our product candidates, we will be unable to successfully commercialize our product candidates if and when they are approved.</w:t>
      </w:r>
    </w:p>
    <w:p>
      <w:pPr>
        <w:spacing w:after="0" w:line="108"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more quickly or marketing them more successfully than us.</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our common stock is subject to volatility related or unrelated to our operations.</w:t>
      </w:r>
    </w:p>
    <w:p>
      <w:pPr>
        <w:spacing w:after="0" w:line="117"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could continue to adversely impact our business, including our ongoing and planned clinical trials, supply chain and business development activities.</w:t>
      </w:r>
    </w:p>
    <w:p>
      <w:pPr>
        <w:spacing w:after="0" w:line="102" w:lineRule="exact"/>
        <w:rPr>
          <w:rFonts w:ascii="Arial" w:cs="Arial" w:eastAsia="Arial" w:hAnsi="Arial"/>
          <w:sz w:val="18"/>
          <w:szCs w:val="18"/>
          <w:color w:val="auto"/>
        </w:rPr>
      </w:pPr>
    </w:p>
    <w:p>
      <w:pPr>
        <w:ind w:left="880" w:right="40" w:hanging="224"/>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currently party to an in-license agreement under which we were granted rights to manufacture certain components of our product candidates. If we breach our obligations under these agreements, we may be required to pay damages, lose our rights to these technologies or both, which would adversely affect our business and prospects.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26"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As used in this Annual Report on Form 10-K, unless the context indicates or otherwise requires, “Silverback,” “our company,” “we,” “us,” and “our” refer to Silverback Therapeutics, Inc., a Delaware corporation.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are a clinical-stage biopharmaceutical company with one product candidate in a Phase 1/1b clinical trial, and we are focused on leveraging our proprietary ImmunoTAC technology platform to develop systemically delivered, tissue targeted therapeutics for the treatment of cancer, chronic viral infections, and other serious diseases. Our platform enables us to strategically pair proprietary linker-payloads that modulate key disease-modifying pathways with monoclonal antibodies directed to specific disease sites. Initially, we are applying our platform to create a new class of targeted immuno-oncology agents that direct a myeloid cell activator to the tumor microenvironment (TME) in solid tumors to promote cancer cell killing. Our lead product candidate, SBT6050, is comprised of a TLR8 agonist linker-payload conjugated to a HER2-directed monoclonal antibody that targets tumors such as certain breast, gastric and non-small cell lung cancers. SBT6050 is currently in a Phase 1/1b clinical trial as a monotherapy and in combination with pembrolizumab, in patients with advanced or metastatic HER2-expressing solid tumors. In this trial, we have observed changes in pharmacodynamic markers in the first dose cohort, and we anticipate providing an update on interim data from the Phase 1 single</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agent dose-escalation cohorts in the second half of 2021. SBT6290 is our second product candidate, expanding on the potential of a TLR8 agonist as a payload. SBT6290 is a TLR8 linker-payload conjugated to a monoclonal antibody that targets Nectin4, which is expressed in certain bladder, triple negative breast, head and neck, and non-small cell lung cancers. We anticipate submitting an investigational new drug application (IND) for SBT6290 in the fourth quarter of 2021. Our third TLR8 program, SBT8230, is comprised of a TLR8 linker-payload conjugated to an ASGR1 monoclonal antibody that is under development for the treatment of chronic hepatitis B virus infection (cHBV). We are also developing agents that localize therapies to modulate important pathways in additional oncology and fibrosis indications using TLR8 and other linker-payloads.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ImmunoTAC Platform</w:t>
      </w:r>
    </w:p>
    <w:p>
      <w:pPr>
        <w:spacing w:after="0" w:line="126" w:lineRule="exact"/>
        <w:rPr>
          <w:sz w:val="20"/>
          <w:szCs w:val="20"/>
          <w:color w:val="auto"/>
        </w:rPr>
      </w:pPr>
    </w:p>
    <w:p>
      <w:pPr>
        <w:ind w:left="120" w:right="640" w:firstLine="551"/>
        <w:spacing w:after="0" w:line="238" w:lineRule="auto"/>
        <w:rPr>
          <w:sz w:val="20"/>
          <w:szCs w:val="20"/>
          <w:color w:val="auto"/>
        </w:rPr>
      </w:pPr>
      <w:r>
        <w:rPr>
          <w:rFonts w:ascii="Arial" w:cs="Arial" w:eastAsia="Arial" w:hAnsi="Arial"/>
          <w:sz w:val="18"/>
          <w:szCs w:val="18"/>
          <w:color w:val="auto"/>
        </w:rPr>
        <w:t>Our ImmunoTAC platform is the result of a focused effort to discover ways to systemically deliver disease-modifying small molecules in a directed fashion to sites of disease. Many potentially promising systemic therapies fail to maximize their therapeutic potential due to toxicities in healthy tissues. Our approach is designed to increase the therapeutic window and avert unacceptable toxicities by directly targeting specific disease sites where our therapeutics are locally active.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shown in the figure below, our ImmunoTAC platform is comprised of three components:</w:t>
      </w:r>
    </w:p>
    <w:p>
      <w:pPr>
        <w:spacing w:after="0" w:line="95" w:lineRule="exact"/>
        <w:rPr>
          <w:sz w:val="20"/>
          <w:szCs w:val="20"/>
          <w:color w:val="auto"/>
        </w:rPr>
      </w:pPr>
    </w:p>
    <w:p>
      <w:pPr>
        <w:ind w:left="1300" w:right="560" w:hanging="644"/>
        <w:spacing w:after="0" w:line="271"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Antigen binding domain</w:t>
      </w:r>
      <w:r>
        <w:rPr>
          <w:rFonts w:ascii="Arial" w:cs="Arial" w:eastAsia="Arial" w:hAnsi="Arial"/>
          <w:sz w:val="18"/>
          <w:szCs w:val="18"/>
          <w:color w:val="auto"/>
        </w:rPr>
        <w:t>—which is responsible for localizing the therapeutic activity of the payload to the site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w:t>
      </w:r>
    </w:p>
    <w:p>
      <w:pPr>
        <w:spacing w:after="0" w:line="59" w:lineRule="exact"/>
        <w:rPr>
          <w:rFonts w:ascii="Arial" w:cs="Arial" w:eastAsia="Arial" w:hAnsi="Arial"/>
          <w:sz w:val="18"/>
          <w:szCs w:val="18"/>
          <w:color w:val="auto"/>
        </w:rPr>
      </w:pPr>
    </w:p>
    <w:p>
      <w:pPr>
        <w:ind w:left="1300" w:right="20" w:hanging="644"/>
        <w:spacing w:after="0" w:line="271"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Linker</w:t>
      </w:r>
      <w:r>
        <w:rPr>
          <w:rFonts w:ascii="Arial" w:cs="Arial" w:eastAsia="Arial" w:hAnsi="Arial"/>
          <w:sz w:val="18"/>
          <w:szCs w:val="18"/>
          <w:color w:val="auto"/>
        </w:rPr>
        <w:t>-</w:t>
      </w:r>
      <w:r>
        <w:rPr>
          <w:rFonts w:ascii="Arial" w:cs="Arial" w:eastAsia="Arial" w:hAnsi="Arial"/>
          <w:sz w:val="18"/>
          <w:szCs w:val="18"/>
          <w:b w:val="1"/>
          <w:bCs w:val="1"/>
          <w:color w:val="auto"/>
        </w:rPr>
        <w:t>payload</w:t>
      </w:r>
      <w:r>
        <w:rPr>
          <w:rFonts w:ascii="Arial" w:cs="Arial" w:eastAsia="Arial" w:hAnsi="Arial"/>
          <w:sz w:val="18"/>
          <w:szCs w:val="18"/>
          <w:color w:val="auto"/>
        </w:rPr>
        <w:t>—a disease-modifying small molecule optimized for potency when conjugated to a monoclonal antibody via</w:t>
      </w:r>
      <w:r>
        <w:rPr>
          <w:rFonts w:ascii="Arial" w:cs="Arial" w:eastAsia="Arial" w:hAnsi="Arial"/>
          <w:sz w:val="18"/>
          <w:szCs w:val="18"/>
          <w:b w:val="1"/>
          <w:bCs w:val="1"/>
          <w:color w:val="auto"/>
        </w:rPr>
        <w:t xml:space="preserve"> </w:t>
      </w:r>
      <w:r>
        <w:rPr>
          <w:rFonts w:ascii="Arial" w:cs="Arial" w:eastAsia="Arial" w:hAnsi="Arial"/>
          <w:sz w:val="18"/>
          <w:szCs w:val="18"/>
          <w:color w:val="auto"/>
        </w:rPr>
        <w:t>its linker; and</w:t>
      </w:r>
    </w:p>
    <w:p>
      <w:pPr>
        <w:spacing w:after="0" w:line="5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Fc region</w:t>
      </w:r>
      <w:r>
        <w:rPr>
          <w:rFonts w:ascii="Arial" w:cs="Arial" w:eastAsia="Arial" w:hAnsi="Arial"/>
          <w:sz w:val="18"/>
          <w:szCs w:val="18"/>
          <w:color w:val="auto"/>
        </w:rPr>
        <w:t>—tuned for requisite effector function.</w:t>
      </w:r>
    </w:p>
    <w:p>
      <w:pPr>
        <w:spacing w:after="0" w:line="234"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We have built a library of proprietary small molecule linker-payloads and antigen binding domains that allows us to mix and match these components to strategically pair and create new therapeutic agents.</w:t>
      </w:r>
    </w:p>
    <w:p>
      <w:pPr>
        <w:spacing w:after="0" w:line="283" w:lineRule="exact"/>
        <w:rPr>
          <w:sz w:val="20"/>
          <w:szCs w:val="20"/>
          <w:color w:val="auto"/>
        </w:rPr>
      </w:pPr>
    </w:p>
    <w:p>
      <w:pPr>
        <w:jc w:val="center"/>
        <w:ind w:left="440" w:right="80"/>
        <w:spacing w:after="0" w:line="271" w:lineRule="auto"/>
        <w:rPr>
          <w:sz w:val="20"/>
          <w:szCs w:val="20"/>
          <w:color w:val="auto"/>
        </w:rPr>
      </w:pPr>
      <w:r>
        <w:rPr>
          <w:rFonts w:ascii="Arial" w:cs="Arial" w:eastAsia="Arial" w:hAnsi="Arial"/>
          <w:sz w:val="18"/>
          <w:szCs w:val="18"/>
          <w:b w:val="1"/>
          <w:bCs w:val="1"/>
          <w:i w:val="1"/>
          <w:iCs w:val="1"/>
          <w:color w:val="auto"/>
        </w:rPr>
        <w:t>Our ImmunoTAC Platform Strategically Pairs Antigen Binding Domains with Linker-Payloads to Modulate Pathways Underlying Difficult-to-Treat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128905</wp:posOffset>
            </wp:positionV>
            <wp:extent cx="5186045" cy="1997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8604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Development Pipeline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ImmunoTAC platform drives our development pipeline of tissue targeted therapeutic candidates as summarized in the chart</w:t>
      </w:r>
    </w:p>
    <w:p>
      <w:pPr>
        <w:ind w:left="120"/>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151765</wp:posOffset>
            </wp:positionV>
            <wp:extent cx="5168900" cy="2143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689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SBT6050</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lead product candidate, SBT6050, is comprised of a TLR8 agonist linker-payload conjugated to a HER2-directed monoclonal antibody and is designed to activate myeloid cells in tumors expressing moderate to high levels of HER2. TLR8 is expressed in myeloid cell types prevalent in human tumors and TLR8 agonism can activate a broad spectrum of anti-tumor immune mechanisms. Therefore, we believe that TLR8 is the optimal target for activating human myeloid cell types in the TME.</w:t>
      </w:r>
    </w:p>
    <w:p>
      <w:pPr>
        <w:spacing w:after="0" w:line="205" w:lineRule="exact"/>
        <w:rPr>
          <w:sz w:val="20"/>
          <w:szCs w:val="20"/>
          <w:color w:val="auto"/>
        </w:rPr>
      </w:pPr>
    </w:p>
    <w:p>
      <w:pPr>
        <w:ind w:left="120" w:right="280" w:firstLine="551"/>
        <w:spacing w:after="0" w:line="237" w:lineRule="auto"/>
        <w:rPr>
          <w:sz w:val="20"/>
          <w:szCs w:val="20"/>
          <w:color w:val="auto"/>
        </w:rPr>
      </w:pPr>
      <w:r>
        <w:rPr>
          <w:rFonts w:ascii="Arial" w:cs="Arial" w:eastAsia="Arial" w:hAnsi="Arial"/>
          <w:sz w:val="18"/>
          <w:szCs w:val="18"/>
          <w:color w:val="auto"/>
        </w:rPr>
        <w:t>Myeloid cells are a class of innate immune cells that develop from common monocyte-dendritic cell progenitor cells and are comprised of both immunosuppressive and pro-inflammatory subpopulations. Tumors are permeated with myeloid cells, which can comprise between 5% and 10% of the tumor. Activation of myeloid cells, either by reprogramming immunosuppressive myeloid cells towards a more pro-inflammatory phenotype or stimulating other myeloid cells that have been silenced (e.g., dendritic cells), results in direct tumor killing and recruitment of immune cells. Further, activated myeloid cells can prime and amplify T cell and natural killer (NK) cell responses, bridging the innate and adaptive immunity to elicit broad, durable anti-tumor responses.</w:t>
      </w:r>
    </w:p>
    <w:p>
      <w:pPr>
        <w:spacing w:after="0" w:line="205"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SBT6050 utilizes HER2 to localize and facilitate the delivery of the TLR8 agonist conjugate into myeloid cells in the TME. Therefore, unlike HER2 targeted therapies that have been approved by the U.S. Food and Drug Administration (FDA) such as Herceptin (trastuzumab), SBT6050 does not require HER2 to be an oncogenic driver to elicit anti-tumor activity. Furthermore, SBT6050 recognizes the HER2 sub-domain II, the pertuzumab epitope, and does not cross-block trastuzumab, allowing for potential combinations with trastuzumab-based agents, which are standard of care therapies in some HER2-expressing cancers.</w:t>
      </w:r>
    </w:p>
    <w:p>
      <w:pPr>
        <w:spacing w:after="0" w:line="2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are currently evaluating the safety and tolerability of SBT6050 in a Phase 1 dose-escalation trial in patients with advanced or metastatic HER2-expressing solid tumors. Changes in pharmacodynamic markers have been observed in the first dose-escalation cohort of this trial. We anticipate providing an update on interim data from the Phase 1 single agent dose-escalation cohorts in the second half of 2021.</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SBT6290</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SBT6290 is our second product candidate, expanding on the potential of a TLR8 agonist as a payload. The same TLR8 linker-payload used in SBT6050 is conjugated to a monoclonal antibody that targets Nectin4. Nectin4 is expressed in subsets of solid tumors including bladder, triple negative breast, head and neck, and non-small cell lung cancers, and has been clinically validated through the approval of the antibody-drug conjugate enfortumab vedotin (Padcev). We anticipate submitting the IND for SBT6290 in the fourth quarter of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SBT8230</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SBT8230, an ASGR1-TLR8 ImmunoTAC therapeutic, is our third TLR8 program. SBT8230 is engineered to potently activate human myeloid cells in the liver for the treatment of cHBV. Selgantolimod (GS-9688), an existing untargeted, orally administered TLR8 agonist being developed by Gilead Sciences, generated anti-viral immune responses in a cHBV animal model. The clinical development of this untargeted TLR8 agonist has shown promise, but we believe that toxicity prevented the use of a sufficient dose to elicit optimal clinical activity. We believe liver- localized TLR8 agonism could better realize the potential for effective therapy and potentially lead to functional cures, which is defined as sustained loss of hepatitis B surface antigen (HBsAg) in the blood, in patients suffering from cHBV. We selected a development candidate for this program in the fourth quarter of 2020, and we anticipate initiating IND-enabling tox studies in the first quarter of 2022 and submitting the IND in the second half of 2022.</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Immuno-Oncology Programs</w:t>
      </w:r>
    </w:p>
    <w:p>
      <w:pPr>
        <w:spacing w:after="0" w:line="126"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In addition to SBT6050 and SBT6290, we are evaluating other solid tumor targets to leverage the TLR8 linker-payload paired with additional tumor directed antibodies. These targets are differentially expressed on tumors compared to normal tissue.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ASGR1-TGFß Receptor Antagonist—Fibrosis Program</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 xml:space="preserve">TGFß signaling is a key mediator of fibrosis across multiple organ systems, including the liver. In the liver, TGFß drives fibrosis initiation and progression through multiple mechanisms, including hepatocyte apoptosis, hepatic stellate cell transdifferentiation to myofibroblasts, and pro-fibrotic macrophage activation. Our ASGR1-TGFßR1 antagonist conjugate pairs the ASGR1 antibody used in SBT8230 with a proprietary TGFßR1 antagonist to achieve liver-localized inhibition of TGFß signaling to treat fibrosis. Our tissue-directed approach has been designed to prevent toxicities associated with untargeted systemically distributed TGFßR1 antagonist agents. Our ASGR1-TGFßR1 antagonist conjugates are currently in preclinical testing and have demonstrated potent inhibition of TGFß signaling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vitro</w:t>
      </w:r>
      <w:r>
        <w:rPr>
          <w:rFonts w:ascii="Arial" w:cs="Arial" w:eastAsia="Arial" w:hAnsi="Arial"/>
          <w:sz w:val="18"/>
          <w:szCs w:val="18"/>
          <w:color w:val="auto"/>
        </w:rPr>
        <w:t>. We are currently evaluating conjugates</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in mouse disease models.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Our goal is to transform the treatment of cancer and other serious diseases with unmet need using our ImmunoTAC platform to deliver a new class of systemically delivered, tissue-directed, and locally active therapies. The key elements of our business strategy are to:</w:t>
      </w:r>
    </w:p>
    <w:p>
      <w:pPr>
        <w:spacing w:after="0" w:line="86" w:lineRule="exact"/>
        <w:rPr>
          <w:sz w:val="20"/>
          <w:szCs w:val="20"/>
          <w:color w:val="auto"/>
        </w:rPr>
      </w:pPr>
    </w:p>
    <w:p>
      <w:pPr>
        <w:ind w:left="880" w:right="300" w:hanging="224"/>
        <w:spacing w:after="0" w:line="244"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SBT6050 through clinical development in late-stage disease that may allow us to seek expedited approval using regulatory pathways available from the FDA such as Accelerated Approval, Breakthrough Therapy, Priority Review or Fast Track designation. </w:t>
      </w:r>
      <w:r>
        <w:rPr>
          <w:rFonts w:ascii="Arial" w:cs="Arial" w:eastAsia="Arial" w:hAnsi="Arial"/>
          <w:sz w:val="18"/>
          <w:szCs w:val="18"/>
          <w:color w:val="auto"/>
        </w:rPr>
        <w:t>In early clinical trials, we will be examining the anti-tumor activity of SBT6050 in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have failed all available therapies associated with clinical benefit, in addition to measuring biomarkers of immune cell activation. This approach may allow us to seek expedited approval</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line="238" w:lineRule="auto"/>
        <w:rPr>
          <w:sz w:val="20"/>
          <w:szCs w:val="20"/>
          <w:color w:val="auto"/>
        </w:rPr>
      </w:pPr>
      <w:r>
        <w:rPr>
          <w:rFonts w:ascii="Arial" w:cs="Arial" w:eastAsia="Arial" w:hAnsi="Arial"/>
          <w:sz w:val="18"/>
          <w:szCs w:val="18"/>
          <w:color w:val="auto"/>
        </w:rPr>
        <w:t>from the FDA based on surrogate endpoints (through the Accelerated Approval path) and expedited FDA review through programs such as Breakthrough Therapy, Priority Review, or Fast Track designation. We are evaluating activity broadly across HER2-expressing cancer types, including cancers where no HER2-directed therapies are currently approved, and have identified several tumor types and lines of therapy that potentially present opportunities for utilizing one or more of these accelerated approval pathways.</w:t>
      </w:r>
    </w:p>
    <w:p>
      <w:pPr>
        <w:spacing w:after="0" w:line="86" w:lineRule="exact"/>
        <w:rPr>
          <w:sz w:val="20"/>
          <w:szCs w:val="20"/>
          <w:color w:val="auto"/>
        </w:rPr>
      </w:pPr>
    </w:p>
    <w:p>
      <w:pPr>
        <w:ind w:left="880" w:right="180" w:hanging="224"/>
        <w:spacing w:after="0" w:line="244"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SBT6050 subsequently into earlier lines of therapy to maximize patient benefit and commercial success, if approved. </w:t>
      </w:r>
      <w:r>
        <w:rPr>
          <w:rFonts w:ascii="Arial" w:cs="Arial" w:eastAsia="Arial" w:hAnsi="Arial"/>
          <w:sz w:val="18"/>
          <w:szCs w:val="18"/>
          <w:color w:val="auto"/>
        </w:rPr>
        <w:t>Our long-term clinical development goal is to position SBT6050 in early-line standard of care regimens in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indications to potentially provide benefit to patients. We seek to accomplish this by evaluating combination therapy approaches with therapeutics approved as standard of care. We believe SBT6050 has the potential to be an ideal combination therapy in early line settings.</w:t>
      </w:r>
    </w:p>
    <w:p>
      <w:pPr>
        <w:spacing w:after="0" w:line="81" w:lineRule="exact"/>
        <w:rPr>
          <w:rFonts w:ascii="Arial" w:cs="Arial" w:eastAsia="Arial" w:hAnsi="Arial"/>
          <w:sz w:val="18"/>
          <w:szCs w:val="18"/>
          <w:color w:val="auto"/>
        </w:rPr>
      </w:pPr>
    </w:p>
    <w:p>
      <w:pPr>
        <w:ind w:left="880" w:right="220" w:hanging="224"/>
        <w:spacing w:after="0" w:line="24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Maximize the therapeutic potential of TLR8 in oncology and other serious diseases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adapting learnings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SBT6050 program to expand the TLR8 agonist franchise by conjugating this payload to antibodies that target different tumor antigens that are prevalent in other cancer types. Additionally, the ability to drive myeloid cell activation in the liver presents an opportunity to treat cHBV infections, which is our most advanced initiative outside of immuno-oncology.</w:t>
      </w:r>
    </w:p>
    <w:p>
      <w:pPr>
        <w:spacing w:after="0" w:line="79" w:lineRule="exact"/>
        <w:rPr>
          <w:rFonts w:ascii="Arial" w:cs="Arial" w:eastAsia="Arial" w:hAnsi="Arial"/>
          <w:sz w:val="18"/>
          <w:szCs w:val="18"/>
          <w:color w:val="auto"/>
        </w:rPr>
      </w:pPr>
    </w:p>
    <w:p>
      <w:pPr>
        <w:ind w:left="880" w:right="60" w:hanging="224"/>
        <w:spacing w:after="0" w:line="261"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Leverage our ImmunoTAC platform for promising new antibody-linker-payload combinations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strategically pairing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disease-modulating payloads with tissue targeted antibodies, such as our ASGR1-TGFßR1 antagonist conjugate, to create new therapeutic agents with the goal of providing benefits to patients who suffer from cancer and other serious diseases. We plan to continue to leverage our ImmunoTAC platform, discovery of targeted binding proteins (including antibodies), and efficient therapeutic discovery infrastructure to discover and develop novel small molecule therapeutics and ImmunoTAC conjugates.</w:t>
      </w:r>
    </w:p>
    <w:p>
      <w:pPr>
        <w:spacing w:after="0" w:line="71" w:lineRule="exact"/>
        <w:rPr>
          <w:rFonts w:ascii="Arial" w:cs="Arial" w:eastAsia="Arial" w:hAnsi="Arial"/>
          <w:sz w:val="17"/>
          <w:szCs w:val="17"/>
          <w:color w:val="auto"/>
        </w:rPr>
      </w:pPr>
    </w:p>
    <w:p>
      <w:pPr>
        <w:ind w:left="880" w:hanging="224"/>
        <w:spacing w:after="0" w:line="244"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Evaluate opportunities to accelerate development timelines and/or enhance the commercial potential of our programs in partnership with third parties</w:t>
      </w:r>
      <w:r>
        <w:rPr>
          <w:rFonts w:ascii="Arial" w:cs="Arial" w:eastAsia="Arial" w:hAnsi="Arial"/>
          <w:sz w:val="18"/>
          <w:szCs w:val="18"/>
          <w:color w:val="auto"/>
        </w:rPr>
        <w:t>. We plan to selectively explore potential strategic partnerships on a program-by-program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biopharmaceutical partners whose research, development, commercial, and/or geographic capabilities complement our own. We believe strategic partnerships can help mitigate clinical and commercial risk, accelerate timelines, and/or maximize global commercial potential.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have assembled an accomplished management team with a proven track record of therapeutic development expertise and of generating meaningful shareholder value. The members of our team have deep experience in discovering, developing, and commercializing therapeutics with a particular focus on cancer, having worked at companies such as Synthorx (acquired by Sanofi), Juno Therapeutics (acquired by Celgene), Cascadian Therapeutics (acquired by Seagen (formerly Seattle Genetics)), Acerta Pharma (acquired by AstraZeneca), Ignyta (acquired by Roche), Roche/Genentech, Seagen (formerly Seattle Genetics), SUGEN (acquired by Pharmacia), and Trubion Pharmaceuticals (acquired by Emergent Biosolutions).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 Product Candidate SBT6050: TLR8 Agonist Conjugated to a HER2 Antibody</w:t>
      </w:r>
    </w:p>
    <w:p>
      <w:pPr>
        <w:spacing w:after="0" w:line="126"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SBT6050 is our lead product candidate, engineered using our ImmunoTAC platform. SBT6050 is comprised of a TLR8 agonist conjugated to a HER2-directed monoclonal antibody and is designed for subcutaneous delivery with tumor-localized activation of myeloid cells.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and Our Approach in Addressing Limitations with Current Immuno-oncology Therapies</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Checkpoint inhibitors (CPIs) such as a programmed death receptor-1 (PD-1) and CTLA-4 blockers have emerged as important foundational immuno-oncology therapies because of their ability to generate durable responses in some patients, in previously intractable cancers and to improve the overall survival. Despite the significant benefit for patients with durable responses to CPIs, most patients unfortunately do not respond or have limited benefit. One of the important reasons why patients do not respond to CPIs is the absence of a sufficient number of T cells within the tumor. To achieve an anti-tumor response with a CPI, a baseline level of T cells must already be present in the tumor. Scientists and clinicians have termed tumors that lack the requisite T cell levels as “immune cell deserts” or “cold tumors,” but more accurately these are “T cell deserts.”</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Solid tumors, including those resistant to T cell targeted immunotherapy, such as PD-1 and CTLA-4 blockers, are permeated with myeloid cells, which can comprise between 5% and 10% of the tumor—at least twice the number of T cells in the TME. Myeloid cells are a class of innate immune cells comprised of both immunosuppressive and pro-inflammatory subpopulations. Activation of myeloid cells, either by reprogramming immunosuppressive myeloid cells towards a more pro-inflammatory phenotype or stimulating other myeloid cells that have been silenced (e.g., dendritic cells), results in direct tumor killing and recruitment of immune cells. Further, activated myeloid cells can prime and amplify T cell and NK cell responses, bridging the innate and adaptive immunity to elicit broad, durable anti-tumor responses. Successful activation of myeloid cells can lead to anti-tumor immunity, even in tumors that are refractory to immune checkpoint blockade, which we believe may bring substantial benefit to a larger fraction of patients.</w:t>
      </w:r>
    </w:p>
    <w:p>
      <w:pPr>
        <w:spacing w:after="0" w:line="208"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designed SBT6050 to potently activate the myeloid cell compartment in the TME. We performed a thorough assessment of innate immune receptors with the goal of identifying a payload target that was well expressed in human myeloid cells. We believe TLR8 is unique in its breadth of expression across human myeloid cell subpopulations and its restricted expression to the myeloid cell lineage. In consideration of internally generated data and emerging external research on human myeloid cell biology, we selected TLR8 as the best payload target for activation of myeloid cells resulting in direct tumor killing and recruitment and activation of additional immune cells, such as T cells and NK cells, to further effect the anti-tumor response.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Activating the Myeloid Cell Compartment Through TLR8 Agonism</w:t>
      </w:r>
    </w:p>
    <w:p>
      <w:pPr>
        <w:spacing w:after="0" w:line="126"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Myeloid cells develop from common monocyte-dendritic cell progenitor cells and are critical mediators of innate immune responses. These cells are plastic in nature and their function and phenotype are heavily influenced by environmental cues. In the TME and tumor draining lymph nodes, macrophages, conventional dendritic cells, myeloid derived suppressor cells, and monocytes are highly prevalent, but also skewed towards inactive or immunosuppressive states. We believe TLR8 is the optimal target for activating these myeloid cell types due to its restricted expression and function within these cells. As shown in the figure below, TLR8 activation of human myeloid cells elicits an anti-tumor response through a multi-pronged mechanism of action, including direct tumor cell killing, recruitment of immune cells, and the secondary activation of NK cells, T cells and B cells, thus driving both an innate and adaptive immune response against the tumor.</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TLR8 is Highly Expressed in Human Myeloid Cell Types That Drive Anti-Tumor Responses When Activated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165735</wp:posOffset>
            </wp:positionV>
            <wp:extent cx="5194935" cy="2288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9493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As a result of the broad immune activation triggered by a TLR8 agonist, systemically administered but untargeted TLR8 small molecule therapeutic candidates from other companies have resulted in an adverse event profile that we believe has limited achieving a dose level sufficient to produce the desired therapeutic benefit. An exemplary TLR8 small molecule agonist is motolimod, originally developed by Array Biopharma and licensed to VentiRx. Motolimod was the first TLR8 specific, but untargeted, agonist tested in the clinic for the treatment of solid tumors. Early trials of subcutaneously administered motolimod yielded adverse events we believe to be consistent with broad myeloid cell activation in the periphery, including injection site reactions and symptoms associated with systemic cytokine release, which limited dose-escalation. As a result, we believe that sufficient drug exposure in the TME was not reached to elicit meaningful anti-tumor activity. Similarly, Gilead Sciences is developing an orally administered untargeted TLR8 agonist for the treatment of cHBV. This therapeutic has resulted in adverse events consistent with myeloid cell activation in the gastrointestinal tract, including diarrhea and nausea. We believe these two cases support our hypothesis that tissue directed, localized activation is critical to maximizing the therapeutic potential of a TLR8 agonist.</w:t>
      </w:r>
    </w:p>
    <w:p>
      <w:pPr>
        <w:spacing w:after="0" w:line="20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TLR8 was selected as a target for an agonist after bioinformatic and functional assessments of several innate immune receptor targets. Important criteria of these targets we considered during our payload selection was intracellular localization and robust expression in myeloid cell compartments, with limited expression in non-immune FcR positive cells. Our selection of TLR8 as the optimal target to activate myeloid cells without activating other cell types outside of the hematopoietic lineage was supported by both external research results and internal data.</w:t>
      </w:r>
    </w:p>
    <w:p>
      <w:pPr>
        <w:spacing w:after="0" w:line="202" w:lineRule="exact"/>
        <w:rPr>
          <w:sz w:val="20"/>
          <w:szCs w:val="20"/>
          <w:color w:val="auto"/>
        </w:rPr>
      </w:pPr>
    </w:p>
    <w:p>
      <w:pPr>
        <w:ind w:left="120" w:right="400" w:firstLine="551"/>
        <w:spacing w:after="0" w:line="238" w:lineRule="auto"/>
        <w:rPr>
          <w:sz w:val="20"/>
          <w:szCs w:val="20"/>
          <w:color w:val="auto"/>
        </w:rPr>
      </w:pPr>
      <w:r>
        <w:rPr>
          <w:rFonts w:ascii="Arial" w:cs="Arial" w:eastAsia="Arial" w:hAnsi="Arial"/>
          <w:sz w:val="18"/>
          <w:szCs w:val="18"/>
          <w:color w:val="auto"/>
        </w:rPr>
        <w:t>As shown in figure A below, unlike other intracellular innate immune receptors, TLR8 is highly expressed in human myeloid cell types, including conventional dendritic cells and macrophages. Conversely, as shown in figure B below, TLR8 is not expressed in fibroblasts and endothelial cells and we believe this restricted expression will reduce the risk of toxicities due to on-target, off-cell activation.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TLR8’s Expression is Restricted to Human Myeloid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165735</wp:posOffset>
            </wp:positionV>
            <wp:extent cx="5212080" cy="2339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Unlike other intracellular innate immune receptors, TLR8 is highly expressed in human myeloid cell types, including conventional dendritic cells and macrophages</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TLR8 is not expressed in fibroblasts and endothelial cells and we believe this restricted expression will reduce the risk of toxicities due to on-target, off-cell activation</w:t>
      </w:r>
    </w:p>
    <w:p>
      <w:pPr>
        <w:spacing w:after="0" w:line="21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 xml:space="preserve">Following the identification of TLR8 as the optimal receptor to activate myeloid cells in the TME, we designed and created a library of TLR8 agonists. Our proprietary TLR8 agonists were evaluated in the format of HER2 antibody conjugates for their ability to activate myeloid cells </w:t>
      </w:r>
      <w:r>
        <w:rPr>
          <w:rFonts w:ascii="Arial" w:cs="Arial" w:eastAsia="Arial" w:hAnsi="Arial"/>
          <w:sz w:val="18"/>
          <w:szCs w:val="18"/>
          <w:i w:val="1"/>
          <w:iCs w:val="1"/>
          <w:color w:val="auto"/>
        </w:rPr>
        <w:t>ex vivo</w:t>
      </w:r>
      <w:r>
        <w:rPr>
          <w:rFonts w:ascii="Arial" w:cs="Arial" w:eastAsia="Arial" w:hAnsi="Arial"/>
          <w:sz w:val="18"/>
          <w:szCs w:val="18"/>
          <w:color w:val="auto"/>
        </w:rPr>
        <w:t>. Within this library, we identified a HER2 antibody-TLR8 conjugate that activated myeloid cells in moderate and high HER2 settings as is found in HER2-expressing tumors.</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320" w:top="459"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Tissue Directed and Localized Activation Through HER2 Expression</w:t>
      </w:r>
    </w:p>
    <w:p>
      <w:pPr>
        <w:spacing w:after="0" w:line="12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Many solid tumors, including those expressing HER2, are refractory to immunotherapy due to minimal T cell infiltrates. As shown in the figures below, HER2-expressing tumors (stained in blue, left panel) frequently contain abundant populations of tumor-associated myeloid cells which express TLR8 (stained in yellow, right panel).</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HER2-Expressing Tumors and TLR8-Expressing Myeloid Cells are Adjacent in the Human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165735</wp:posOffset>
            </wp:positionV>
            <wp:extent cx="5768975" cy="1791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897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right="60" w:firstLine="551"/>
        <w:spacing w:after="0" w:line="251" w:lineRule="auto"/>
        <w:rPr>
          <w:sz w:val="20"/>
          <w:szCs w:val="20"/>
          <w:color w:val="auto"/>
        </w:rPr>
      </w:pPr>
      <w:r>
        <w:rPr>
          <w:rFonts w:ascii="Arial" w:cs="Arial" w:eastAsia="Arial" w:hAnsi="Arial"/>
          <w:sz w:val="17"/>
          <w:szCs w:val="17"/>
          <w:color w:val="auto"/>
        </w:rPr>
        <w:t>HER2 is an optimal marker to direct therapies like TLR8 agonist conjugates due to its differential expression between tumors and healthy tissue. Furthermore, HER2 expression is prevalent in meaningfully large patient sub-populations in a wide variety of tumor types including breast (estimated 83,000), gastric (estimated 6,400), non-small cell lung (estimated 31,500), colorectal (estimated 9,000), bladder (estimated 7,500), uterine (estimated 11,000), pancreatic (estimated 4,000), head and neck (estimated 2,000), ovarian (estimated 1,100), esophageal (estimated 2,500), and biliary (estimated 3,000) cancers, providing the potential to address a large HER2-expressing tumor agnostic market estimated to be more than 160,000 newly-diagnosed patients annually in the United States based in part on estimated prevalence rates. The 2020 American Cancer Society annual report on cancer statistics was used to determine the estimated incidence for each cancer type. HER2 overexpression and amplification prevalence rates documented in the literature were applied to the incidence rate for each cancer type to approximate the HER2-overexpressing sub-populations in each cancer type; 30.0%, 16.4%, and 23.2% HER2 overexpression rates were used for breast cancer, gastric cancer, and non-small cell lung cancer (NSCLC),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shown in the figure below, the SBT6050 potential mechanism of action is outlined sequentially as follows:</w:t>
      </w:r>
    </w:p>
    <w:p>
      <w:pPr>
        <w:spacing w:after="0" w:line="11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SBT6050 is administered systemically through subcutaneous injection. Systemic dosing is essential to access myeloid cells in both primary lesions and metastatic lesions, and in secondary lymphoid organs, to result in productive and durable anti-tumor responses.</w:t>
      </w:r>
    </w:p>
    <w:p>
      <w:pPr>
        <w:spacing w:after="0" w:line="94"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SBT6050 is directed to tumors expressing HER2 and the TME, which is permeated with myeloid cells that express Fcg receptors on their cell surface, and TLR8 within endosomes.</w:t>
      </w:r>
    </w:p>
    <w:p>
      <w:pPr>
        <w:spacing w:after="0" w:line="62"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co-engagement of the HER2 protein on the tumor and Fcg receptors on the myeloid cell, SBT6050 is designed to be internalized by the myeloid cell into the endo-lysosomal compartment once there is a sufficient increase in avidity, which is provided by HER2 binding on the tumor cell.</w:t>
      </w:r>
    </w:p>
    <w:p>
      <w:pPr>
        <w:spacing w:after="0" w:line="93" w:lineRule="exact"/>
        <w:rPr>
          <w:rFonts w:ascii="Arial" w:cs="Arial" w:eastAsia="Arial" w:hAnsi="Arial"/>
          <w:sz w:val="18"/>
          <w:szCs w:val="18"/>
          <w:color w:val="auto"/>
        </w:rPr>
      </w:pPr>
    </w:p>
    <w:p>
      <w:pPr>
        <w:ind w:left="5520" w:right="140" w:hanging="4864"/>
        <w:spacing w:after="0" w:line="41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SBT6050’s TLR8 linker-payload engages TLR8 present in the endosomes of myeloid cells, which in turn drives activation. 12</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320"/>
        <w:spacing w:after="0" w:line="271" w:lineRule="auto"/>
        <w:rPr>
          <w:sz w:val="20"/>
          <w:szCs w:val="20"/>
          <w:color w:val="auto"/>
        </w:rPr>
      </w:pPr>
      <w:r>
        <w:rPr>
          <w:rFonts w:ascii="Arial" w:cs="Arial" w:eastAsia="Arial" w:hAnsi="Arial"/>
          <w:sz w:val="18"/>
          <w:szCs w:val="18"/>
          <w:b w:val="1"/>
          <w:bCs w:val="1"/>
          <w:i w:val="1"/>
          <w:iCs w:val="1"/>
          <w:color w:val="auto"/>
        </w:rPr>
        <w:t>Potential Mechanism of Action: SBT6050 is Designed to Localize TLR8 Activation of Myeloid Cells in Tumors via a HER2-Directed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128905</wp:posOffset>
            </wp:positionV>
            <wp:extent cx="5186045" cy="2537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8604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Development of SBT6050</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 xml:space="preserve">Our preclinical studies have shown the potential for SBT6050 to activate innate and adaptive anti-tumor responses in the TME and demonstrate anti-tumor activity as a single agent and in combination with standard of care agents such as anti-PD-1 and trastuzumab-based therapies in HER2-expressing solid tumors. Highlights of our preclinical work using SBT6050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SBT6050-S (our mouse surrogate)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via subcutaneous delivery demonstrated:</w:t>
      </w:r>
    </w:p>
    <w:p>
      <w:pPr>
        <w:spacing w:after="0" w:line="110" w:lineRule="exact"/>
        <w:rPr>
          <w:sz w:val="20"/>
          <w:szCs w:val="20"/>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 activation of multiple anti-tumor immune mechanisms induced in the presence of HER2-expressing tumor cells.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Equipotent immune cell activation in settings of moderate and high HER2 expression.</w:t>
      </w:r>
    </w:p>
    <w:p>
      <w:pPr>
        <w:spacing w:after="0" w:line="117"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Curative activity as a single agent in a xenograft model lacking T cells and B cells, and deficient in NK cells, highlighting the potential of myeloid cell activation alone to mediate robust tumor cell killing.</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 single agent activity in tumor models with low tumor infiltrating lymphocytes, highlighting the potential for clinical activity in tumors displaying immune evasive characteristics.</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Anti-tumor responses upon tumor re-challenge without additional dosing, highlighting the potential for durable effects through the activation and expansion of tumor antigen-specific T memory cells.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Enhanced anti-tumor activity when used in combination with anti-PD-1 therapy in a CPI-refractory mouse tumor model.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Enhanced anti-tumor activity when used in combination with trastuzumab in a mouse tumor model.</w:t>
      </w:r>
    </w:p>
    <w:p>
      <w:pPr>
        <w:spacing w:after="0" w:line="212" w:lineRule="exact"/>
        <w:rPr>
          <w:sz w:val="20"/>
          <w:szCs w:val="20"/>
          <w:color w:val="auto"/>
        </w:rPr>
      </w:pPr>
    </w:p>
    <w:p>
      <w:pPr>
        <w:ind w:left="120" w:right="920"/>
        <w:spacing w:after="0" w:line="246" w:lineRule="auto"/>
        <w:rPr>
          <w:sz w:val="20"/>
          <w:szCs w:val="20"/>
          <w:color w:val="auto"/>
        </w:rPr>
      </w:pPr>
      <w:r>
        <w:rPr>
          <w:rFonts w:ascii="Arial" w:cs="Arial" w:eastAsia="Arial" w:hAnsi="Arial"/>
          <w:sz w:val="18"/>
          <w:szCs w:val="18"/>
          <w:color w:val="auto"/>
        </w:rPr>
        <w:t>Collectively, these data supported our decision to clinically evaluate the anti-tumor activity of SBT6050 as a single agent and in combination with anti-PD-1 and trastuzumab-based therapeutics in relevant HER2-expressing tumor types.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SBT6050 In Vitro Preclinical Data</w:t>
      </w:r>
    </w:p>
    <w:p>
      <w:pPr>
        <w:spacing w:after="0" w:line="104"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 xml:space="preserve">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SBT6050 potently activated human myeloid cell types, including macrophages, dendritic cells, and monocytes. This activation resulted in the induction of multiple myeloid cell effector functions, including the production of cytokines and chemokines that are critical to the generation of anti-tumor immune responses. In addition, SBT6050 activation of myeloid cells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resulted in the subsequent, indirect activation of NK cells and T cells. 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SBT6050 also mediated antibody-dependent cellular phagocytosis and antibody-dependent cellular cytotoxicity. Further, TLR8 agonism drove the downmodulation of SIRPa, highlighting the potential to block the CD47-SIRPa pathway, which, in turn, can potentially enable phagocytosis of tumor and red blood cells.</w:t>
      </w:r>
    </w:p>
    <w:p>
      <w:pPr>
        <w:spacing w:after="0" w:line="181"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 xml:space="preserve">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human peripheral blood mononuclear cells (PBMC) were co-cultured with HER2</w:t>
      </w:r>
      <w:r>
        <w:rPr>
          <w:rFonts w:ascii="Arial" w:cs="Arial" w:eastAsia="Arial" w:hAnsi="Arial"/>
          <w:sz w:val="15"/>
          <w:szCs w:val="15"/>
          <w:color w:val="auto"/>
        </w:rPr>
        <w:t>pos</w:t>
      </w:r>
      <w:r>
        <w:rPr>
          <w:rFonts w:ascii="Arial" w:cs="Arial" w:eastAsia="Arial" w:hAnsi="Arial"/>
          <w:sz w:val="18"/>
          <w:szCs w:val="18"/>
          <w:color w:val="auto"/>
        </w:rPr>
        <w:t xml:space="preserve"> or HER2</w:t>
      </w:r>
      <w:r>
        <w:rPr>
          <w:rFonts w:ascii="Arial" w:cs="Arial" w:eastAsia="Arial" w:hAnsi="Arial"/>
          <w:sz w:val="15"/>
          <w:szCs w:val="15"/>
          <w:color w:val="auto"/>
        </w:rPr>
        <w:t>neg</w:t>
      </w:r>
      <w:r>
        <w:rPr>
          <w:rFonts w:ascii="Arial" w:cs="Arial" w:eastAsia="Arial" w:hAnsi="Arial"/>
          <w:sz w:val="18"/>
          <w:szCs w:val="18"/>
          <w:color w:val="auto"/>
        </w:rPr>
        <w:t xml:space="preserve"> tumor cell lines in the presence of SBT6050. As shown in the figures below, SBT6050 potently induced multiple anti-tumor immune activities, including general activation of myeloid cells as measured by pro-inflammatory cytokine and chemokine production (TNFa), direct activation of dendritic cells (IL-12p40), and inflammasome activation (IL-18) in the presence of HER2</w:t>
      </w:r>
      <w:r>
        <w:rPr>
          <w:rFonts w:ascii="Arial" w:cs="Arial" w:eastAsia="Arial" w:hAnsi="Arial"/>
          <w:sz w:val="15"/>
          <w:szCs w:val="15"/>
          <w:color w:val="auto"/>
        </w:rPr>
        <w:t>pos</w:t>
      </w:r>
      <w:r>
        <w:rPr>
          <w:rFonts w:ascii="Arial" w:cs="Arial" w:eastAsia="Arial" w:hAnsi="Arial"/>
          <w:sz w:val="18"/>
          <w:szCs w:val="18"/>
          <w:color w:val="auto"/>
        </w:rPr>
        <w:t xml:space="preserve"> tumor cells. No activation was seen when SBT6050 was co-cultured with HER2</w:t>
      </w:r>
      <w:r>
        <w:rPr>
          <w:rFonts w:ascii="Arial" w:cs="Arial" w:eastAsia="Arial" w:hAnsi="Arial"/>
          <w:sz w:val="15"/>
          <w:szCs w:val="15"/>
          <w:color w:val="auto"/>
        </w:rPr>
        <w:t>neg</w:t>
      </w:r>
      <w:r>
        <w:rPr>
          <w:rFonts w:ascii="Arial" w:cs="Arial" w:eastAsia="Arial" w:hAnsi="Arial"/>
          <w:sz w:val="18"/>
          <w:szCs w:val="18"/>
          <w:color w:val="auto"/>
        </w:rPr>
        <w:t xml:space="preserve"> cells.</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SBT6050 Activated Myeloid Cells in the Presence of HER2</w:t>
      </w:r>
      <w:r>
        <w:rPr>
          <w:rFonts w:ascii="Arial" w:cs="Arial" w:eastAsia="Arial" w:hAnsi="Arial"/>
          <w:sz w:val="15"/>
          <w:szCs w:val="15"/>
          <w:b w:val="1"/>
          <w:bCs w:val="1"/>
          <w:i w:val="1"/>
          <w:iCs w:val="1"/>
          <w:color w:val="auto"/>
        </w:rPr>
        <w:t>pos</w:t>
      </w:r>
      <w:r>
        <w:rPr>
          <w:rFonts w:ascii="Arial" w:cs="Arial" w:eastAsia="Arial" w:hAnsi="Arial"/>
          <w:sz w:val="18"/>
          <w:szCs w:val="18"/>
          <w:b w:val="1"/>
          <w:bCs w:val="1"/>
          <w:i w:val="1"/>
          <w:iCs w:val="1"/>
          <w:color w:val="auto"/>
        </w:rPr>
        <w:t xml:space="preserve">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2811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8604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right="180" w:firstLine="551"/>
        <w:spacing w:after="0" w:line="241" w:lineRule="auto"/>
        <w:rPr>
          <w:sz w:val="20"/>
          <w:szCs w:val="20"/>
          <w:color w:val="auto"/>
        </w:rPr>
      </w:pPr>
      <w:r>
        <w:rPr>
          <w:rFonts w:ascii="Arial" w:cs="Arial" w:eastAsia="Arial" w:hAnsi="Arial"/>
          <w:sz w:val="18"/>
          <w:szCs w:val="18"/>
          <w:color w:val="auto"/>
        </w:rPr>
        <w:t xml:space="preserve">Similar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using PBMCs were conducted to compare SBT6050 with conjugates that contain a TLR7 agonist, resiquimod or a resiquimod variant payload that were designed to mimic competitor molecules. Of note, the EC</w:t>
      </w:r>
      <w:r>
        <w:rPr>
          <w:rFonts w:ascii="Arial" w:cs="Arial" w:eastAsia="Arial" w:hAnsi="Arial"/>
          <w:sz w:val="15"/>
          <w:szCs w:val="15"/>
          <w:color w:val="auto"/>
        </w:rPr>
        <w:t>50</w:t>
      </w:r>
      <w:r>
        <w:rPr>
          <w:rFonts w:ascii="Arial" w:cs="Arial" w:eastAsia="Arial" w:hAnsi="Arial"/>
          <w:sz w:val="18"/>
          <w:szCs w:val="18"/>
          <w:color w:val="auto"/>
        </w:rPr>
        <w:t xml:space="preserve"> of the free, unconjugated TLR7 small molecule agonist was 9 nM on a TLR7 reporter line and no activity was observed on a TLR8 reporter line. The EC</w:t>
      </w:r>
      <w:r>
        <w:rPr>
          <w:rFonts w:ascii="Arial" w:cs="Arial" w:eastAsia="Arial" w:hAnsi="Arial"/>
          <w:sz w:val="15"/>
          <w:szCs w:val="15"/>
          <w:color w:val="auto"/>
        </w:rPr>
        <w:t>50</w:t>
      </w:r>
      <w:r>
        <w:rPr>
          <w:rFonts w:ascii="Arial" w:cs="Arial" w:eastAsia="Arial" w:hAnsi="Arial"/>
          <w:sz w:val="18"/>
          <w:szCs w:val="18"/>
          <w:color w:val="auto"/>
        </w:rPr>
        <w:t xml:space="preserve"> of unconjugated resiquimod on TLR7 was ~700 nM and &gt;3 µM on TLR8, demonstrating that resiquimod is a weak TLR8 agonist. The resiquimod variant was of slightly better potency compared to resiquimod. As shown in the figures below, in these internal head-to-head studies SBT6050 demonstrated a</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256" w:lineRule="auto"/>
        <w:rPr>
          <w:sz w:val="20"/>
          <w:szCs w:val="20"/>
          <w:color w:val="auto"/>
        </w:rPr>
      </w:pPr>
      <w:r>
        <w:rPr>
          <w:rFonts w:ascii="Arial" w:cs="Arial" w:eastAsia="Arial" w:hAnsi="Arial"/>
          <w:sz w:val="18"/>
          <w:szCs w:val="18"/>
          <w:color w:val="auto"/>
        </w:rPr>
        <w:t>superior ability to induce TNFa, IL-12p40, and IL-18 in the presence of HER2</w:t>
      </w:r>
      <w:r>
        <w:rPr>
          <w:rFonts w:ascii="Arial" w:cs="Arial" w:eastAsia="Arial" w:hAnsi="Arial"/>
          <w:sz w:val="15"/>
          <w:szCs w:val="15"/>
          <w:color w:val="auto"/>
        </w:rPr>
        <w:t>pos</w:t>
      </w:r>
      <w:r>
        <w:rPr>
          <w:rFonts w:ascii="Arial" w:cs="Arial" w:eastAsia="Arial" w:hAnsi="Arial"/>
          <w:sz w:val="18"/>
          <w:szCs w:val="18"/>
          <w:color w:val="auto"/>
        </w:rPr>
        <w:t xml:space="preserve"> tumor cells. This highlights the potential for favorable activity of SBT6050, which we believe is due to efficient engagement of TLR8 in conjugate form. SBT6050’s functional profile was not replicated with conjugates comprised of TLR7-specific or resiquimod-derived agonists.</w:t>
      </w:r>
    </w:p>
    <w:p>
      <w:pPr>
        <w:spacing w:after="0" w:line="274" w:lineRule="exact"/>
        <w:rPr>
          <w:sz w:val="20"/>
          <w:szCs w:val="20"/>
          <w:color w:val="auto"/>
        </w:rPr>
      </w:pPr>
    </w:p>
    <w:p>
      <w:pPr>
        <w:jc w:val="center"/>
        <w:ind w:left="540"/>
        <w:spacing w:after="0" w:line="271" w:lineRule="auto"/>
        <w:rPr>
          <w:sz w:val="20"/>
          <w:szCs w:val="20"/>
          <w:color w:val="auto"/>
        </w:rPr>
      </w:pPr>
      <w:r>
        <w:rPr>
          <w:rFonts w:ascii="Arial" w:cs="Arial" w:eastAsia="Arial" w:hAnsi="Arial"/>
          <w:sz w:val="18"/>
          <w:szCs w:val="18"/>
          <w:b w:val="1"/>
          <w:bCs w:val="1"/>
          <w:i w:val="1"/>
          <w:iCs w:val="1"/>
          <w:color w:val="auto"/>
        </w:rPr>
        <w:t>SBT6050 Was Superior at Activating Human Myeloid Cells Compared to HER2 Antibody Conjugates that Use Either a Selective TLR7 Agonist or Resiquimod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128905</wp:posOffset>
            </wp:positionV>
            <wp:extent cx="5186045" cy="2005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8604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20" w:right="180" w:firstLine="551"/>
        <w:spacing w:after="0" w:line="270" w:lineRule="auto"/>
        <w:rPr>
          <w:sz w:val="20"/>
          <w:szCs w:val="20"/>
          <w:color w:val="auto"/>
        </w:rPr>
      </w:pPr>
      <w:r>
        <w:rPr>
          <w:rFonts w:ascii="Arial" w:cs="Arial" w:eastAsia="Arial" w:hAnsi="Arial"/>
          <w:sz w:val="17"/>
          <w:szCs w:val="17"/>
          <w:color w:val="auto"/>
        </w:rPr>
        <w:t xml:space="preserve">Robust activation of the myeloid cell compartment is also known to trigger an adaptive immune cell response. In an additional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study using a similar PBMC assay, SBT6050 induced indirect activation of mediators associated with NK cell and T cell responses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(IFNg and granzyme B), as shown in the figures below. In a separate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study, the induction of IFNg and granzyme B by SBT6050 was shown to be secondary to myeloid cell activation as blockade of IL-12 and/or IL-18 abrogated the IFNg and granzyme B response.</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SBT6050 Indirectly Activated Mechanisms Associated with CTL/NK Cell Responses in the Presence of HER2</w:t>
      </w:r>
      <w:r>
        <w:rPr>
          <w:rFonts w:ascii="Arial" w:cs="Arial" w:eastAsia="Arial" w:hAnsi="Arial"/>
          <w:sz w:val="15"/>
          <w:szCs w:val="15"/>
          <w:b w:val="1"/>
          <w:bCs w:val="1"/>
          <w:i w:val="1"/>
          <w:iCs w:val="1"/>
          <w:color w:val="auto"/>
        </w:rPr>
        <w:t>pos</w:t>
      </w:r>
      <w:r>
        <w:rPr>
          <w:rFonts w:ascii="Arial" w:cs="Arial" w:eastAsia="Arial" w:hAnsi="Arial"/>
          <w:sz w:val="18"/>
          <w:szCs w:val="18"/>
          <w:b w:val="1"/>
          <w:bCs w:val="1"/>
          <w:i w:val="1"/>
          <w:iCs w:val="1"/>
          <w:color w:val="auto"/>
        </w:rPr>
        <w:t xml:space="preserve">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165735</wp:posOffset>
            </wp:positionV>
            <wp:extent cx="5212080" cy="254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320" w:top="459" w:right="5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HER2 expression in tumor cells varies and can be measured by protein expression using immunohistochemistry (IHC) to understand the amount of HER2 in tumor cells. It is also common to determine the gene copy number using fluorescence in situ hybridization (FISH) or other methodologies as another way to understand if the HER2 gene is amplified. Gene amplification typically results in overexpression of the protein usually at the IHC3+ level, but some HER2-amplified tumors express protein at the IHC2+ level. It has become standard practice among pathologists to characterize protein expression using IHC1+, IHC2+ or IHC3+ and also to measure gene copy number because certain FDA-approved therapies, such as Herceptin, are approved in the setting of high HER2 expression levels. High HER2 expression tumors are categorized by either IHC3+ or IHC2+/FISH positive. Low HER2 expression in the industry is categorized as IHC2+/FISH negative and IHC1+. In our preclinical, studies we characterized IHC1+ HER2 tumor cells as expressing less than 25,000 HER2 receptors per cell. SBT6050 has been tuned to work in settings of IHC2+/FISH negative (moderate expression) as well as IHC3+ (high expression) but not IHC1+ (low expression). Targeting tumors with moderate HER2 expression allows us to address a patient population where most current HER2 targeted therapies are not effective. We believe that avoiding some normal tissues that express low levels of HER2 provides the opportunity for an improved safety and tolerability profile.</w:t>
      </w:r>
    </w:p>
    <w:p>
      <w:pPr>
        <w:spacing w:after="0" w:line="186" w:lineRule="exact"/>
        <w:rPr>
          <w:sz w:val="20"/>
          <w:szCs w:val="20"/>
          <w:color w:val="auto"/>
        </w:rPr>
      </w:pPr>
    </w:p>
    <w:p>
      <w:pPr>
        <w:ind w:left="120" w:right="120" w:firstLine="551"/>
        <w:spacing w:after="0" w:line="267" w:lineRule="auto"/>
        <w:rPr>
          <w:sz w:val="20"/>
          <w:szCs w:val="20"/>
          <w:color w:val="auto"/>
        </w:rPr>
      </w:pPr>
      <w:r>
        <w:rPr>
          <w:rFonts w:ascii="Arial" w:cs="Arial" w:eastAsia="Arial" w:hAnsi="Arial"/>
          <w:sz w:val="18"/>
          <w:szCs w:val="18"/>
          <w:color w:val="auto"/>
        </w:rPr>
        <w:t xml:space="preserve">As shown in the figures below,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demonstrated that SBT6050 stimulated myeloid cells in the presence of IHC 2+ and 3+, but not in the presence of IHC 1+/- tumor cell lines.</w:t>
      </w: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SBT6050 Activated Myeloid Cells Only in the Presence of IHC 2+ and 3+ Tumor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165735</wp:posOffset>
            </wp:positionV>
            <wp:extent cx="5092065" cy="12172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9206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SBT6050 In Vivo Preclinical Data</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Background Regarding SBT6050-S</w:t>
      </w:r>
    </w:p>
    <w:p>
      <w:pPr>
        <w:spacing w:after="0" w:line="122" w:lineRule="exact"/>
        <w:rPr>
          <w:sz w:val="20"/>
          <w:szCs w:val="20"/>
          <w:color w:val="auto"/>
        </w:rPr>
      </w:pPr>
    </w:p>
    <w:p>
      <w:pPr>
        <w:jc w:val="both"/>
        <w:ind w:left="120" w:right="80" w:firstLine="551"/>
        <w:spacing w:after="0" w:line="238" w:lineRule="auto"/>
        <w:rPr>
          <w:sz w:val="20"/>
          <w:szCs w:val="20"/>
          <w:color w:val="auto"/>
        </w:rPr>
      </w:pPr>
      <w:r>
        <w:rPr>
          <w:rFonts w:ascii="Arial" w:cs="Arial" w:eastAsia="Arial" w:hAnsi="Arial"/>
          <w:sz w:val="18"/>
          <w:szCs w:val="18"/>
          <w:color w:val="auto"/>
        </w:rPr>
        <w:t>Because mice do not have a functional homologue of human TLR8, we designed SBT6050-S to enable preclinical mouse studies with a molecule that in mice matches the myeloid cell activation profile of SBT6050. TLR7 expression in mouse myeloid cells mirrors that of TLR8 in human myeloid cells. RNA sequencing data published by third parties, as shown in the figures below, highlight the differential expression of TLR8 and TLR7 across mouse and human myeloid cell sub populations. Activation of TLR7 in mouse myeloid cells results in a similar downstream functional profile as TLR8 activation does in human myeloid cells.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580" w:right="120"/>
        <w:spacing w:after="0" w:line="271" w:lineRule="auto"/>
        <w:rPr>
          <w:sz w:val="20"/>
          <w:szCs w:val="20"/>
          <w:color w:val="auto"/>
        </w:rPr>
      </w:pPr>
      <w:r>
        <w:rPr>
          <w:rFonts w:ascii="Arial" w:cs="Arial" w:eastAsia="Arial" w:hAnsi="Arial"/>
          <w:sz w:val="18"/>
          <w:szCs w:val="18"/>
          <w:b w:val="1"/>
          <w:bCs w:val="1"/>
          <w:i w:val="1"/>
          <w:iCs w:val="1"/>
          <w:color w:val="auto"/>
        </w:rPr>
        <w:t>TLR7 Is Highly Expressed in Mouse Myeloid Cells and TLR8 Is Highly Expressed in Human Myeloid Cells, Whereas TLR7 Is Expressed at Low Levels in Human Myeloid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128905</wp:posOffset>
            </wp:positionV>
            <wp:extent cx="5177790" cy="2057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779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 xml:space="preserve">SBT6050-S is a proprietary conjugate that contains a selective TLR7 linker-payload and a mouse IgG2a Fc domain to promote uptake in mouse myeloid cells. Our preclinical data, as shown in the figure below, demonstrated similar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potency of SBT6050 on human myeloid cells and SBT6050-S on mouse myeloid cells. In addition,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activity of SBT6050-S is HER2-dependent as is the case for SBT6050 as described earlier.</w:t>
      </w:r>
    </w:p>
    <w:p>
      <w:pPr>
        <w:spacing w:after="0" w:line="291" w:lineRule="exact"/>
        <w:rPr>
          <w:sz w:val="20"/>
          <w:szCs w:val="20"/>
          <w:color w:val="auto"/>
        </w:rPr>
      </w:pPr>
    </w:p>
    <w:p>
      <w:pPr>
        <w:jc w:val="center"/>
        <w:ind w:left="600" w:right="20"/>
        <w:spacing w:after="0" w:line="271" w:lineRule="auto"/>
        <w:rPr>
          <w:sz w:val="20"/>
          <w:szCs w:val="20"/>
          <w:color w:val="auto"/>
        </w:rPr>
      </w:pPr>
      <w:r>
        <w:rPr>
          <w:rFonts w:ascii="Arial" w:cs="Arial" w:eastAsia="Arial" w:hAnsi="Arial"/>
          <w:sz w:val="18"/>
          <w:szCs w:val="18"/>
          <w:b w:val="1"/>
          <w:bCs w:val="1"/>
          <w:i w:val="1"/>
          <w:iCs w:val="1"/>
          <w:color w:val="auto"/>
        </w:rPr>
        <w:t>Functional Results with TLR7 Conjugate, SBT6050-S, on Mouse Myeloid Cells Matched Those of SBT6050 on Human Myeloid Cells 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128905</wp:posOffset>
            </wp:positionV>
            <wp:extent cx="3326130" cy="2828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613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320" w:top="459" w:right="5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SBT6050-S Monotherapy In Vivo Data</w:t>
      </w:r>
    </w:p>
    <w:p>
      <w:pPr>
        <w:spacing w:after="0" w:line="12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Using SBT6050-S in preclinical studies, we have demonstrated that a systemically administered, HER2-directed myeloid cell agonist activated a broad spectrum of anti-tumor mechanisms and led to curative single agent activity in both a human tumor xenograft model lacking T cells and B cells and with defective NK cells as well as a T cell-excluded syngeneic mouse tumor model. In these models, the term “curative effects” describe the complete clearance of tumors (tumor size of 0 mm</w:t>
      </w:r>
      <w:r>
        <w:rPr>
          <w:rFonts w:ascii="Arial" w:cs="Arial" w:eastAsia="Arial" w:hAnsi="Arial"/>
          <w:sz w:val="15"/>
          <w:szCs w:val="15"/>
          <w:color w:val="auto"/>
        </w:rPr>
        <w:t>3</w:t>
      </w:r>
      <w:r>
        <w:rPr>
          <w:rFonts w:ascii="Arial" w:cs="Arial" w:eastAsia="Arial" w:hAnsi="Arial"/>
          <w:sz w:val="18"/>
          <w:szCs w:val="18"/>
          <w:color w:val="auto"/>
        </w:rPr>
        <w:t>).</w:t>
      </w:r>
    </w:p>
    <w:p>
      <w:pPr>
        <w:spacing w:after="0" w:line="205"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As shown in the figures below, SBT6050-S (at 10 mg/kg) demonstrated curative effects as a monotherapy in a human tumor xenograft (NCI-N87) mouse model that has an absence of T cells along with defective NK cells. This study was powered for statistical significance using survival as a readout which is defined as tumor size remaining below 1,000 mm</w:t>
      </w:r>
      <w:r>
        <w:rPr>
          <w:rFonts w:ascii="Arial" w:cs="Arial" w:eastAsia="Arial" w:hAnsi="Arial"/>
          <w:sz w:val="15"/>
          <w:szCs w:val="15"/>
          <w:color w:val="auto"/>
        </w:rPr>
        <w:t>3</w:t>
      </w:r>
      <w:r>
        <w:rPr>
          <w:rFonts w:ascii="Arial" w:cs="Arial" w:eastAsia="Arial" w:hAnsi="Arial"/>
          <w:sz w:val="18"/>
          <w:szCs w:val="18"/>
          <w:color w:val="auto"/>
        </w:rPr>
        <w:t>. Treatment with SBT6050-S resulted in a statistically significant increase in survival as compared to the isotype and HER2 mAb control groups (p value&lt;0.0001). We believe that the activity of SBT6050-S in this model is indicative of the potential of myeloid cells to drive tumor eradication. These data indicate that SBT6050 may have activity in tumors with low or no T cell infiltrate, which we believe has important implications regarding the substantial potential benefit of SBT6050 for patients who do not respond to T cell-directed immunotherapy.</w:t>
      </w: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SBT6050-S Drove Robust, Curative Single Agent Activity in T Cell, NK Cell-Deficient Mouse Strains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1825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8604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in our preclinical studies, administration of SBT6050-S as a monotherapy resulted in durable curative effects in a HER2-expressing, T cell excluded EMT6 syngeneic mouse tumor model. EMT6 is a mouse tumor that we engineered to express human HER2. Expression of human HER2 in this model is moderate, heterogenous, and may be lost over time, which is representative of certain HER2</w:t>
      </w:r>
      <w:r>
        <w:rPr>
          <w:rFonts w:ascii="Arial" w:cs="Arial" w:eastAsia="Arial" w:hAnsi="Arial"/>
          <w:sz w:val="15"/>
          <w:szCs w:val="15"/>
          <w:color w:val="auto"/>
        </w:rPr>
        <w:t>pos</w:t>
      </w:r>
      <w:r>
        <w:rPr>
          <w:rFonts w:ascii="Arial" w:cs="Arial" w:eastAsia="Arial" w:hAnsi="Arial"/>
          <w:sz w:val="18"/>
          <w:szCs w:val="18"/>
          <w:color w:val="auto"/>
        </w:rPr>
        <w:t xml:space="preserve"> tumor types such as gastric cancer. While conducted in immunocompetent mice, the EMT6 model is also known to be resistant to anti-PD-1 treatment because T cells are excluded from tumor entry. The left panel in the figure below illustrates tumor cells that were demarcated by H&amp;E staining. The central panel in the figure below illustrates that in the HER2-EMT6 model, CD8 T cells were sequestered on the periphery of the tumor. In contrast, the right panel below illustrates the presence of macrophage infiltrate within this T cell-excluded mouse tumor model.</w:t>
      </w: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IHC Staining in EMT6 Tumor Models, Depicting CD8 T Cells and Macrophages (F4/80)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13373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8604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shown in the figures below, SBT6050-S (at 10 mg/kg) as a monotherapy resulted in a complete response (CR) rate, the</w:t>
      </w:r>
    </w:p>
    <w:p>
      <w:pPr>
        <w:ind w:left="120" w:right="20"/>
        <w:spacing w:after="0" w:line="238" w:lineRule="auto"/>
        <w:rPr>
          <w:sz w:val="20"/>
          <w:szCs w:val="20"/>
          <w:color w:val="auto"/>
        </w:rPr>
      </w:pPr>
      <w:r>
        <w:rPr>
          <w:rFonts w:ascii="Arial" w:cs="Arial" w:eastAsia="Arial" w:hAnsi="Arial"/>
          <w:sz w:val="18"/>
          <w:szCs w:val="18"/>
          <w:color w:val="auto"/>
        </w:rPr>
        <w:t>percentage of animals with tumors &lt; 30 mm</w:t>
      </w:r>
      <w:r>
        <w:rPr>
          <w:rFonts w:ascii="Arial" w:cs="Arial" w:eastAsia="Arial" w:hAnsi="Arial"/>
          <w:sz w:val="15"/>
          <w:szCs w:val="15"/>
          <w:color w:val="auto"/>
        </w:rPr>
        <w:t>3</w:t>
      </w:r>
      <w:r>
        <w:rPr>
          <w:rFonts w:ascii="Arial" w:cs="Arial" w:eastAsia="Arial" w:hAnsi="Arial"/>
          <w:sz w:val="18"/>
          <w:szCs w:val="18"/>
          <w:color w:val="auto"/>
        </w:rPr>
        <w:t xml:space="preserve"> at the end of study, of between 40% and 80% in the HER2-EMT6 model, depending on the study. This study was powered for statistical significance using survival as a readout which is defined as tumor size remaining below 1,000 mm</w:t>
      </w:r>
      <w:r>
        <w:rPr>
          <w:rFonts w:ascii="Arial" w:cs="Arial" w:eastAsia="Arial" w:hAnsi="Arial"/>
          <w:sz w:val="15"/>
          <w:szCs w:val="15"/>
          <w:color w:val="auto"/>
        </w:rPr>
        <w:t>3</w:t>
      </w:r>
      <w:r>
        <w:rPr>
          <w:rFonts w:ascii="Arial" w:cs="Arial" w:eastAsia="Arial" w:hAnsi="Arial"/>
          <w:sz w:val="18"/>
          <w:szCs w:val="18"/>
          <w:color w:val="auto"/>
        </w:rPr>
        <w:t>. Treatment with SBT6050-S resulted in a statistically significant increase in overall survival when compared to the isotype and HER2 mAb control groups (p value=0.002). Approximately 30-50% of EMT6 tumor cells express human HER2 at the time of dosing initiation. Given the lack of stability of HER2 expression in this model, we believe HER2 expression was lost in the tumors of the mice that did not respond to SBT6050-S in this study.</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Treatment with SBT6050-S Monotherapy Resulted in CR Rate of 40-80% in HER2-EMT6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13887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8604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shown in the figure on the left below, HER2-EMT6 tumor-bearing mice that were cured by SBT6050-S treatment, meaning that no tumor was detectable, were fully protected from an EMT6 tumor re-challenge, indicative of the generation of immunological memory. As shown in the figure on the right below, mice that were re-challenged with EMT6 tumors that did not express HER2 were also shown to have complete protection, indicating SBT6050 engendered activation of an anti-tumor T cell response that was not restricted to HER2. This is consistent with the expansion of T cells reactive to tumor neoantigens observed in the tumors of mice after treatment with SBT6050-S.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SBT6050-S Conferred HER2-Independent Protection in Preclinical Tumor Re-Challenge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1842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8604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Data Supporting the Potential for Combination of SBT6050 with Other Therapies</w:t>
      </w:r>
    </w:p>
    <w:p>
      <w:pPr>
        <w:spacing w:after="0" w:line="122"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In our preclinical studies, SBT6050-S drove robust anti-tumor activity as a single agent and in combination with standard of care agents.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40" w:firstLine="551"/>
        <w:spacing w:after="0" w:line="246" w:lineRule="auto"/>
        <w:rPr>
          <w:sz w:val="20"/>
          <w:szCs w:val="20"/>
          <w:color w:val="auto"/>
        </w:rPr>
      </w:pPr>
      <w:r>
        <w:rPr>
          <w:rFonts w:ascii="Arial" w:cs="Arial" w:eastAsia="Arial" w:hAnsi="Arial"/>
          <w:sz w:val="18"/>
          <w:szCs w:val="18"/>
          <w:color w:val="auto"/>
        </w:rPr>
        <w:t>As shown in the figures below, our preclinical data demonstrated that the single agent activity of SBT6050-S in the immune-competent, checkpoint resistant HER2-EMT6 tumor model was further enhanced when combined with an anti-PD-1.</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Combination of SBT6050-S and Anti-PD-1 Drove Robust, Durable Anti-Tumor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13373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8604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a HER2</w:t>
      </w:r>
      <w:r>
        <w:rPr>
          <w:rFonts w:ascii="Arial" w:cs="Arial" w:eastAsia="Arial" w:hAnsi="Arial"/>
          <w:sz w:val="15"/>
          <w:szCs w:val="15"/>
          <w:color w:val="auto"/>
        </w:rPr>
        <w:t>pos</w:t>
      </w:r>
      <w:r>
        <w:rPr>
          <w:rFonts w:ascii="Arial" w:cs="Arial" w:eastAsia="Arial" w:hAnsi="Arial"/>
          <w:sz w:val="18"/>
          <w:szCs w:val="18"/>
          <w:color w:val="auto"/>
        </w:rPr>
        <w:t xml:space="preserve"> human xenograft mouse model, a combination of low dose SBT6050-S with trastuzumab greatly enhanced the anti-tumor activity observed with either agent alone. As shown in the figures below, our preclinical data demonstrated the potential for enhanced clinical activity with SBT6050 in combination with trastuzumab. In this study, a lower dose of SBT6050-S (1 mg/kg) was used to allow for the combinatorial benefit to be observed. A lower dose of SBT6050-S (1 mg/kg) was used as a monotherapy control. We believe that the potential to combine with trastuzumab-based therapies unlocks the possibility of accessing earlier lines of therapy in breast and gastric cancer, where trastuzumab is a part of the standard of care.</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Combination of SBT6050-S and Trastuzumab Drove Robust, Durable Anti-Tumor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1320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8604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SBT6050 Was Well Tolerated in Non-Human Primates by the Subcutaneous Route of Administration</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SBT6050 demonstrated a wide therapeutic window in safety and tolerability studies following repeat subcutaneous administration including in the GLP toxicology study in non-human primates (NHP) that determined our first-in-human (FIH) dose. Forty-one NHPs have been administered repeat SC doses of SBT6050 in three NHP toxicity studies. In two non-GLP studies, 15 NHPs were treated at SC dose levels of 0.1 to 12 mg/kg, with the majority (8 of 15) administered 6 or 12 mg/kg every 2 or 3 weeks (Q2W or Q3W) for 4 doses. In the GLP toxicity study, 26 NHPs received doses of 2, 6 or 12 mg/kg Q2W for 4 doses, with a 4-week recovery period for the higher two dose levels. Across the studies, there was no evidence of injection site reactions or cytokine release syndrome (CRS) in any animal. There were transient, dose-related hematological, clinical chemistry, and cytokine and chemokine changes reflective of the potential mechanism of action of SBT6050. Because of the broad therapeutic</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window demonstrated in these studies, our FIH starting dose level of 0.3 mg/kg was selected because of its equivalency to the minimum pharmacologically active dose level in NHP and the projection that this dose level may be pharmacologically active in patients. The FIH dose levels of immune activators, particularly those that are viewed as having a significant risk of CRS, are typically below the projected pharmacologically active dose of the agent, resulting in lengthy dose-escalations to an active dose level. Notably, that is not the case with SBT6050. Based on the totality of our preclinical data, we believe that we have potential to reach the recommended phase 2 dose (RP2D) for SBT6050 between the second and fourth dose levels.</w:t>
      </w:r>
    </w:p>
    <w:p>
      <w:pPr>
        <w:spacing w:after="0" w:line="205"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Repeat administration of fully human or humanized proteins, such as that included in SBT6050, to preclinical species, like a NHP, has been extensively evaluated by many organizations over the years and has been found to frequently lead to the generation of anti-drug antibodies (ADA), reflecting the development of immunogenic responses with repetitive challenge of NHP with non-self or foreign proteins. Importantly, the generation of ADA against human or humanized proteins in NHP, even when accompanied by ADA-mediated toxicities such as anaphylaxis, has not been predictive of immunogenicity in humans. ADA developed against SBT6050 in our NHP toxicology studies. The formation of ADA against SBT6050 in NHP was expected given the inherent immunogenicity of humanized proteins in NHP and the potential mechanism of action of SBT6050, which includes the promotion of presentation of foreign antigens by dendritic cells, a mechanism critical to the formation of immune responses to tumor neoantigens. The development of ADA in NHP resulted in decreased exposure following repeat dosing. As has been seen with other immune agonists administered in the presence of ADA in preclinical species, repeat intravenous dosing with SBT6050 resulted in anaphylaxis but anaphylaxis was not seen in NPH studies using subcutaneous dosing of SBT6050. While no animal treated with SBT6050 subcutaneously showed signs of acute anaphylaxis, one animal in the highest dose group was euthanized due to what is believed to be ADA-related immune complex deposits in certain organs. Given the precedent data in the field, we do not believe that neutralizing ADA formation that affected SBT6050 exposure in NHP will translate into the clinic. Nevertheless, a reduction in exposure following repeat dosing of SBT6050 in the Phase 1/1b clinical trial could present a risk for clinical development. Of note, in our ongoing Phase 1/1b clinical trial, we have repeat dose pharmacokinetics (PK) after four doses of 0.3 mg/kg for one patient and reductions in SBT6050 exposure were not observed. Variable ADA titers have been observed across patients ranging from undetectable to low without impact on pharmacodynamic activity.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SBT6050 Clinical Development Plan and Strategy</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SBT6050 demonstrated a wide therapeutic window in our GLP toxicology study in NHP, enabling a FIH starting dose of 0.3 mg/kg, which was projected to be pharmacologically active and within 2-3 cohorts of where we could potentially achieve anti-tumor activity. In NHP, 0.5 mg/kg was defined as the minimum pharmacologically active dose as determined by blood-based biomarkers, 6 mg/kg was determined to be the No Adverse Event Level and the highest dose level evaluated was 12 mg/kg. Our FIH starting dose of 0.3 mg/kg is the human equivalent of the minimum pharmacologically active dose level in NHP and projected to be pharmacologically active in patients. Based on the totality of our preclinical data, we believe that the RP2D will be reached between the second and fourth dose levels in our Phase 1 dose-escalation, particularly if 0.3 mg/kg demonstrates pharmacological activity as projected from our preclinical modeling. Additional dose levels may be explored in our Phase 1/1b clinical trial to further characterize the tolerability profile. At the RP2D, we believe there is potential to demonstrate single agent anti-tumor activity in dose expansion cohorts.</w:t>
      </w:r>
    </w:p>
    <w:p>
      <w:pPr>
        <w:spacing w:after="0" w:line="207" w:lineRule="exact"/>
        <w:rPr>
          <w:sz w:val="20"/>
          <w:szCs w:val="20"/>
          <w:color w:val="auto"/>
        </w:rPr>
      </w:pPr>
    </w:p>
    <w:p>
      <w:pPr>
        <w:ind w:left="120" w:right="220" w:firstLine="551"/>
        <w:spacing w:after="0" w:line="261" w:lineRule="auto"/>
        <w:rPr>
          <w:sz w:val="20"/>
          <w:szCs w:val="20"/>
          <w:color w:val="auto"/>
        </w:rPr>
      </w:pPr>
      <w:r>
        <w:rPr>
          <w:rFonts w:ascii="Arial" w:cs="Arial" w:eastAsia="Arial" w:hAnsi="Arial"/>
          <w:sz w:val="17"/>
          <w:szCs w:val="17"/>
          <w:color w:val="auto"/>
        </w:rPr>
        <w:t>Our IND for SBT6050 was cleared in June 2020 with a starting dose of 0.3 mg/kg. In July 2020, we initiated a Phase 1/1b FIH, open-label, multicenter, dose-escalation and expansion clinical trial in patients with HER2-expressing solid tumors that have progressed following standard therapies. The trial is designed to evaluate the safety, tolerability, PK, pharmacodynamics (PD), immunogenicity,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anti-tumor activity of SBT6050 as a single agent and in combination with pembrolizumab, a PD-1 inhibitor.</w:t>
      </w:r>
    </w:p>
    <w:p>
      <w:pPr>
        <w:spacing w:after="0" w:line="212"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In our Phase 1/1b clinical trial, we are monitoring key PD biomarkers in both the blood and the tumor which have been associated with tumor regression in our preclinical mouse studies and was observed in our preclinical NHP studies. Key biomarkers in the blood include elevations in MCP-1, IP-10, and C-reactive protein and induction of additional PD markers indicative of on target mechanism of action such as IFNg. We will be obtaining tumor biopsies at baseline and on treatment to measure biomarkers that correlate with the activation of myeloid cells, T cells and NK cells in cohorts 2 and later.</w:t>
      </w:r>
    </w:p>
    <w:p>
      <w:pPr>
        <w:spacing w:after="0" w:line="20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trial consists of four parts: monotherapy dose-escalation and expansion (Part 1), monotherapy dose expansion in tumor-specific cohorts (Part 2), pembrolizumab combination dose-escalation (Part 3), and a pembrolizumab combination dose expansion cohort (Part 4).</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Part 1: SBT6050 Single Agent Dose-Escalation and Expansion</w:t>
      </w:r>
    </w:p>
    <w:p>
      <w:pPr>
        <w:spacing w:after="0" w:line="12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Part 1, a standard 3 + 3 dose-escalation of SBT6050 is planned to study safety, tolerability, and PK of SBT6050, and to determine the maximum tolerated dose (MTD) and the RP2D. The MTD is defined as the dose just below the dose level where 2 or more out of 6 patients (³33%) experience dose-limiting toxicities (DLTs). The starting dose of the SBT6050 regimen is 0.3 mg/kg administered via subcutaneous injection once every 14 days. One or two dose levels may be expanded to 12 patients to obtain additional information to select the RP2D. Eligible patients must have HER2-expressing (HER2 IHC 2/3+) or HER2-amplified cancer refractory to or relapsed after standard therapies. We anticipate enrolling approximately 30 participants in Part 1.</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Part 2: SBT6050 Single Agent Dose Expansion in Tumor-Specific Cohorts</w:t>
      </w:r>
    </w:p>
    <w:p>
      <w:pPr>
        <w:spacing w:after="0" w:line="12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Patients will be enrolled into parallel expansion cohorts based on tumor type and HER2 expression level. Patients enrolled in the expansion cohorts will receive SBT6050 at the recommended dose and schedule established in Part 1. The purpose of Part 2 is to further characterize the tolerability profile of the RP2D and evaluate the anti-tumor activity and PD effects of SBT6050 as a single agent. Enrollment will follow a Simon 2-stage design. Planned expansion cohorts, which may also be informed by experience in the dose-escalation phase, include the following tumor types:</w:t>
      </w:r>
    </w:p>
    <w:p>
      <w:pPr>
        <w:spacing w:after="0" w:line="105" w:lineRule="exact"/>
        <w:rPr>
          <w:sz w:val="20"/>
          <w:szCs w:val="20"/>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Cohort A: HER2</w:t>
      </w:r>
      <w:r>
        <w:rPr>
          <w:rFonts w:ascii="Arial" w:cs="Arial" w:eastAsia="Arial" w:hAnsi="Arial"/>
          <w:sz w:val="15"/>
          <w:szCs w:val="15"/>
          <w:color w:val="auto"/>
        </w:rPr>
        <w:t>pos</w:t>
      </w:r>
      <w:r>
        <w:rPr>
          <w:rFonts w:ascii="Arial" w:cs="Arial" w:eastAsia="Arial" w:hAnsi="Arial"/>
          <w:sz w:val="18"/>
          <w:szCs w:val="18"/>
          <w:color w:val="auto"/>
        </w:rPr>
        <w:t xml:space="preserve"> breast cancer, n=40.</w:t>
      </w:r>
    </w:p>
    <w:p>
      <w:pPr>
        <w:spacing w:after="0" w:line="119"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Cohort B: HER2 low-expressing (IHC2+/amplification negative) breast cancer, n=30.</w:t>
      </w:r>
    </w:p>
    <w:p>
      <w:pPr>
        <w:spacing w:after="0" w:line="114"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Cohort C: HER2</w:t>
      </w:r>
      <w:r>
        <w:rPr>
          <w:rFonts w:ascii="Arial" w:cs="Arial" w:eastAsia="Arial" w:hAnsi="Arial"/>
          <w:sz w:val="15"/>
          <w:szCs w:val="15"/>
          <w:color w:val="auto"/>
        </w:rPr>
        <w:t>pos</w:t>
      </w:r>
      <w:r>
        <w:rPr>
          <w:rFonts w:ascii="Arial" w:cs="Arial" w:eastAsia="Arial" w:hAnsi="Arial"/>
          <w:sz w:val="18"/>
          <w:szCs w:val="18"/>
          <w:color w:val="auto"/>
        </w:rPr>
        <w:t xml:space="preserve"> gastric cancer, n=40.</w:t>
      </w:r>
    </w:p>
    <w:p>
      <w:pPr>
        <w:spacing w:after="0" w:line="119"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Cohort D: HER2-expressing (IHC 2/3+) or HER2-amplified non-small cell lung cancer, n=40.</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Cohort E: HER2-expressing (IHC 2/3+) or HER2-amplified solid tumors, n=30.</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Part 3: SBT6050 Plus Pembrolizumab Dose-Escalation Cohort</w:t>
      </w:r>
    </w:p>
    <w:p>
      <w:pPr>
        <w:spacing w:after="0" w:line="12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Part 3, a standard 3 + 3 dose-escalation of SBT6050 plus the anti-PD-1 CPI, pembrolizumab is planned to determine the MTD and RP2D of SBT6050 when given in combination with pembrolizumab. The MTD is defined as above. SBT6050 will be administered via subcutaneous injection on Days 1, 15, and 29 of 42-day cycles in combination with 400 mg pembrolizumab administered via intravenous injection on Day 1 of each cycle. Eligible patients will have HER2-expressing or HER2-amplified solid tumors. Part 3 of the study will open when changes in PD markers exceeds the pre-defined criteria for pharmacological activity with demonstration of acceptable safety and tolerability in a cohort treated with</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49" w:lineRule="auto"/>
        <w:rPr>
          <w:sz w:val="20"/>
          <w:szCs w:val="20"/>
          <w:color w:val="auto"/>
        </w:rPr>
      </w:pPr>
      <w:r>
        <w:rPr>
          <w:rFonts w:ascii="Arial" w:cs="Arial" w:eastAsia="Arial" w:hAnsi="Arial"/>
          <w:sz w:val="18"/>
          <w:szCs w:val="18"/>
          <w:color w:val="auto"/>
        </w:rPr>
        <w:t>single agent SBT6050. The pre-defined threshold is based on changes in peripheral PD markers in preclinical studies, and includes C-reactive protein elevation to ³ 150 mg/L and 3-5x changes from baseline in certain cytokines and chemokines such as IP-10 and/or MCP-1 and induction of additional pharmacodynamic markers indicative of on-target mechanism of action, such as IFNg. We anticipate enrolling approximately 15 participants in Part 3.</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Part 4: SBT6050 Plus Pembrolizumab Dose Expansion Cohort</w:t>
      </w:r>
    </w:p>
    <w:p>
      <w:pPr>
        <w:spacing w:after="0" w:line="122" w:lineRule="exact"/>
        <w:rPr>
          <w:sz w:val="20"/>
          <w:szCs w:val="20"/>
          <w:color w:val="auto"/>
        </w:rPr>
      </w:pPr>
    </w:p>
    <w:p>
      <w:pPr>
        <w:ind w:left="120" w:right="360" w:firstLine="551"/>
        <w:spacing w:after="0" w:line="238" w:lineRule="auto"/>
        <w:rPr>
          <w:sz w:val="20"/>
          <w:szCs w:val="20"/>
          <w:color w:val="auto"/>
        </w:rPr>
      </w:pPr>
      <w:r>
        <w:rPr>
          <w:rFonts w:ascii="Arial" w:cs="Arial" w:eastAsia="Arial" w:hAnsi="Arial"/>
          <w:sz w:val="18"/>
          <w:szCs w:val="18"/>
          <w:color w:val="auto"/>
        </w:rPr>
        <w:t>The combination treatment expansion part of the trial will be initiated once the RP2D has been defined by the safety monitoring committee from Part 3. The purpose of Part 4 is to further characterize the tolerability profile of the RP2D and evaluate the anti-tumor activity and PD effects of SBT6050 in combination with pembrolizumab. Approximately 30 patients with HER2-expressing or HER2-amplified tumors of multiple histologies will be enrolled.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Update on SBT6050 Phase 1/1b Clinical Trial</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of November 25, 2020, six patients had been enrolled at 0.3 mg/kg in Part 1 of the study (SBT6050 monotherapy dose-escalation). This first cohort of patients included two patients who had radiological reassessments, one patient with stable disease at her 8 and 16 week reassessments, one patient with a greater than 30% reduction in the diameter of her target lesion at 8 weeks per the investigator’s assessment, and two additional patients that had completed the DLT period and remained on study. The most common adverse events included flu-like symptoms (fever, chills, nausea, vomiting, fatigue) and redness and swelling at the injection site. Changes in pharmacodynamic markers consistent with the potential mechanism of action were observed in treated patients. This included increases in plasma levels of CRP (C-reactive protein), a marker of inflammation, increases in MCP-1, IP-10 and IL-6, which are indicative of myeloid cell activation, increases in IFNg, which is a marker for T and NK cell activation, and transient decreases in hemoglobin, which we believe to be due to macrophage phagocytosis.</w:t>
      </w:r>
    </w:p>
    <w:p>
      <w:pPr>
        <w:spacing w:after="0" w:line="20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anticipate providing an update on interim data from the Phase 1 single agent dose-escalation cohorts in the second half of 2021. Enrollment and treatment has been initiated in Part 3 of the study (SBT6050 plus pembrolizumab dose-escalation). We anticipate providing an update on interim data from the Phase 1 SBT6050 plus pembrolizumab combination in the first half of 2022. We anticipate providing a further update on interim data from the Phase 1 monotherapy and combination dose-escalation, as well as a first update of the Phase 1b monotherapy in tumor-specific expansion cohorts and the Phase 1b combination cohort, in the second half of 2022.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SBT6050 Addressable Market</w:t>
      </w:r>
    </w:p>
    <w:p>
      <w:pPr>
        <w:spacing w:after="0" w:line="126"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7"/>
          <w:szCs w:val="17"/>
          <w:color w:val="auto"/>
        </w:rPr>
        <w:t>As shown in the figure below, HER2 IHC 2+ and 3+ overexpression and amplification are documented in at least 11 different tumor types including breast (estimated 83,000), gastric (estimated 6,400), non-small cell lung (estimated 31,500), colorectal (estimated 9,000), bladder (estimated 7,500), uterine (estimated 11,000), pancreatic (estimated 4,000), head and neck (estimated 2,000), ovarian (estimated 1,100), esophageal (estimated 3,000), and biliary (estimated 3,000) cancers, providing the potential to address a large HER2-expressing tumor agnostic market estimated to be more than 160,000 newly-diagnosed patients annually in the United States based in part on estimated prevalence rates. HER2 IHC2+ and 3+ overexpression in breast cancer, gastric cancer, and NSCLC are 30.0%, 16.4%, and</w:t>
      </w:r>
    </w:p>
    <w:p>
      <w:pPr>
        <w:spacing w:after="0" w:line="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23.2%, respectively. Most HER2 targeted therapies require the tumor cells to be dependent on HER2 signaling, often called an oncogenic driver. HER2 oncogenic-driven tumors are limited to subsets of breast and gastric cancer and hence the FDA-approved therapies that require HER2 signaling are limited to these indications as noted in the figure. SBT6050 does not require the tumor cells to be dependent on HER2 signaling for its anti-tumor activity and instead utilizes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HER2 protein to deliver the conjugate to adjacent myeloid cells. We believe that this expands the market opportunity beyond HER2-driven breast and gastric cancer in which targeted HER2 agents have been approved and are established as standard of care. Because of the rationale to combine SBT6050 with CPI’s, which is supported by our preclinical data, we have noted in the figure below those tumor types with an approved CPI.</w:t>
      </w:r>
    </w:p>
    <w:p>
      <w:pPr>
        <w:spacing w:after="0" w:line="291" w:lineRule="exact"/>
        <w:rPr>
          <w:sz w:val="20"/>
          <w:szCs w:val="20"/>
          <w:color w:val="auto"/>
        </w:rPr>
      </w:pPr>
    </w:p>
    <w:p>
      <w:pPr>
        <w:jc w:val="center"/>
        <w:ind w:left="480" w:right="60"/>
        <w:spacing w:after="0" w:line="271" w:lineRule="auto"/>
        <w:rPr>
          <w:sz w:val="20"/>
          <w:szCs w:val="20"/>
          <w:color w:val="auto"/>
        </w:rPr>
      </w:pPr>
      <w:r>
        <w:rPr>
          <w:rFonts w:ascii="Arial" w:cs="Arial" w:eastAsia="Arial" w:hAnsi="Arial"/>
          <w:sz w:val="18"/>
          <w:szCs w:val="18"/>
          <w:b w:val="1"/>
          <w:bCs w:val="1"/>
          <w:i w:val="1"/>
          <w:iCs w:val="1"/>
          <w:color w:val="auto"/>
        </w:rPr>
        <w:t>Large Potential Market Opportunity for SBT6050 in Tumors that Express HER2 and in Combination with HER2 Targeted Agents and CPIs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128905</wp:posOffset>
            </wp:positionV>
            <wp:extent cx="5186045" cy="19627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8604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HER2 expression rates are well-understood in tumor types for which there is an FDA-approved HER2 targeted therapy available. Breast and gastric cancer cases are routinely screened for HER2 expression as a part of the standard of care. HER2 overexpression has been reported in other tumor types, but because of the lack of effective therapies targeting cancers outside of breast and gastric, screening is not readily performed. In calculating our potential addressable market for these tumor types, the figure above shows a range of HER2 expression cited in the literature and the lower end of the range was utilized for market considerations. In the United States, we believe that, based in part on estimated prevalence rates as described in the figure above, more than 48,000 patients annually with solid tumors that are refractory to standard of care treatments may benefit from SBT6050 as a single agent or combination therapy, if successfully developed and approved. In the future, if SBT6050 advances to earlier lines of treatment, based in part on estimated prevalence rates as described in the figure above, more than 160,000 patients annually may benefit.</w:t>
      </w:r>
    </w:p>
    <w:p>
      <w:pPr>
        <w:spacing w:after="0" w:line="207"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In considering the market for combination treatment, SBT6050 was specifically designed to bind to the HER2 sub-domain II, the pertuzumab epitope, to enable combinations with trastuzumab-based therapies that bind to HER2 sub-domain IV such as Herceptin (trastuzumab), Kadcyla (trastuzumab-DM1), and Enhertu (DS-8201), all of which are FDA-approved HER2 agents. Our preclinical data has demonstrated the potential to use SBT6050 in combination with trastuzumab and CPI’s. We believe that SBT6050 may also have the potential to be combined with tyrosine kinase inhibitors such as Tukysa (tucatinib), which is approved for combination with trastuzumab and Xeloda (capecitabine) for the treatment of HER2</w:t>
      </w:r>
      <w:r>
        <w:rPr>
          <w:rFonts w:ascii="Arial" w:cs="Arial" w:eastAsia="Arial" w:hAnsi="Arial"/>
          <w:sz w:val="15"/>
          <w:szCs w:val="15"/>
          <w:color w:val="auto"/>
        </w:rPr>
        <w:t>pos</w:t>
      </w:r>
      <w:r>
        <w:rPr>
          <w:rFonts w:ascii="Arial" w:cs="Arial" w:eastAsia="Arial" w:hAnsi="Arial"/>
          <w:sz w:val="18"/>
          <w:szCs w:val="18"/>
          <w:color w:val="auto"/>
        </w:rPr>
        <w:t xml:space="preserve"> metastatic breast cancer. When considering the market potential for combination therapy, only combinations with trastuzumab and CPI’s was utilized in our calculations.</w:t>
      </w:r>
    </w:p>
    <w:p>
      <w:pPr>
        <w:spacing w:after="0" w:line="203" w:lineRule="exact"/>
        <w:rPr>
          <w:sz w:val="20"/>
          <w:szCs w:val="20"/>
          <w:color w:val="auto"/>
        </w:rPr>
      </w:pPr>
    </w:p>
    <w:p>
      <w:pPr>
        <w:ind w:left="120" w:right="460" w:firstLine="551"/>
        <w:spacing w:after="0"/>
        <w:rPr>
          <w:sz w:val="20"/>
          <w:szCs w:val="20"/>
          <w:color w:val="auto"/>
        </w:rPr>
      </w:pPr>
      <w:r>
        <w:rPr>
          <w:rFonts w:ascii="Arial" w:cs="Arial" w:eastAsia="Arial" w:hAnsi="Arial"/>
          <w:sz w:val="18"/>
          <w:szCs w:val="18"/>
          <w:color w:val="auto"/>
        </w:rPr>
        <w:t>SBT6050 is also active in HER2 IHC 2+ / FISH negative tumors, expanding the market beyond the scope of current approved HER2 targeted therapies indicated for IHC 3+ and IHC 2+ / FISH positive tumors as shown in the figure below. We considered this potential market extension in breast cancer and gastric cancer in calculating the potential addressable market.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SBT6050 Potential Addressable Market in Indications with an FDA-Approved HER2 Targeted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165735</wp:posOffset>
            </wp:positionV>
            <wp:extent cx="5100320" cy="1431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0032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SBT6290: TLR8 Agonist Conjugated to a Nectin4 Antibody</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second product candidate, SBT6290, is comprised of the same TLR8 linker-payload used in SBT6050 conjugated to a Nectin4-directed monoclonal antibody. Nectin4 has been prioritized as our second target based on differential expression of extracellular proteins on tumor cells in comparison to healthy tissue, as well as the degree of myeloid cell infiltrate in the TME. Nectin4 is overexpressed in cancers including bladder, triple negative breast, head and neck, and NSCLC, among others.</w:t>
      </w:r>
    </w:p>
    <w:p>
      <w:pPr>
        <w:spacing w:after="0" w:line="205"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Nectin4 is a target that has been clinically validated by Seagen (formerly Seattle Genetics) through the approval of the Nectin4-directed antibody-drug conjugate Padcev. In 2019, Padcev was approved under the FDA’s accelerated approval program indicated for the treatment of adult patients with locally advanced or metastatic urothelial cancer who have previously received a PD-1 inhibitor, and a platinum-containing chemotherapy.</w:t>
      </w:r>
    </w:p>
    <w:p>
      <w:pPr>
        <w:spacing w:after="0" w:line="205"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Targeting Nectin4 to deliver a TLR8 agonist to adjacent myeloid cells presents a significant therapeutic opportunity across different cancers. As shown in the figure below, the estimated incidence of newly diagnosed patients with bladder, triple negative breast, head and neck cancers, and NSCLC that express Nectin4 represents over 181,000 patients annually in the early line setting. The estimated yearly deaths of patients with bladder, triple negative breast, head and neck cancer, and NSCLC that express Nectin4 represents over 73,000 patients with relapsed or refractory cancer annually in the United States.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Nectin4 Overexpression Across Select Tumor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165735</wp:posOffset>
            </wp:positionV>
            <wp:extent cx="4654550" cy="1491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5455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Bioinformatic analysis of data from The Cancer Genome Atlas (TCGA) database indicates that myeloid cells are present in Nectin4-expressing tumor types, as shown in the figure below. As reported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in TCGA, myeloid cells can comprise, on average, between 7% to 14% of the tumor which is higher than the average number of T cells in the same tumor types.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Nectin4-Expressing Tumor Types Are Infiltrated By Myeloid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165735</wp:posOffset>
            </wp:positionV>
            <wp:extent cx="3317240" cy="2562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1724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 xml:space="preserve">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human PBMCs were co-cultured with Nectin4</w:t>
      </w:r>
      <w:r>
        <w:rPr>
          <w:rFonts w:ascii="Arial" w:cs="Arial" w:eastAsia="Arial" w:hAnsi="Arial"/>
          <w:sz w:val="15"/>
          <w:szCs w:val="15"/>
          <w:color w:val="auto"/>
        </w:rPr>
        <w:t>pos</w:t>
      </w:r>
      <w:r>
        <w:rPr>
          <w:rFonts w:ascii="Arial" w:cs="Arial" w:eastAsia="Arial" w:hAnsi="Arial"/>
          <w:sz w:val="18"/>
          <w:szCs w:val="18"/>
          <w:color w:val="auto"/>
        </w:rPr>
        <w:t xml:space="preserve"> or Nectin4</w:t>
      </w:r>
      <w:r>
        <w:rPr>
          <w:rFonts w:ascii="Arial" w:cs="Arial" w:eastAsia="Arial" w:hAnsi="Arial"/>
          <w:sz w:val="15"/>
          <w:szCs w:val="15"/>
          <w:color w:val="auto"/>
        </w:rPr>
        <w:t>neg</w:t>
      </w:r>
      <w:r>
        <w:rPr>
          <w:rFonts w:ascii="Arial" w:cs="Arial" w:eastAsia="Arial" w:hAnsi="Arial"/>
          <w:sz w:val="18"/>
          <w:szCs w:val="18"/>
          <w:color w:val="auto"/>
        </w:rPr>
        <w:t xml:space="preserve"> tumor cell lines in the presence of SBT6290. As shown in the figures below, SBT6290 potently activated myeloid cells with an EC</w:t>
      </w:r>
      <w:r>
        <w:rPr>
          <w:rFonts w:ascii="Arial" w:cs="Arial" w:eastAsia="Arial" w:hAnsi="Arial"/>
          <w:sz w:val="15"/>
          <w:szCs w:val="15"/>
          <w:color w:val="auto"/>
        </w:rPr>
        <w:t>50</w:t>
      </w:r>
      <w:r>
        <w:rPr>
          <w:rFonts w:ascii="Arial" w:cs="Arial" w:eastAsia="Arial" w:hAnsi="Arial"/>
          <w:sz w:val="18"/>
          <w:szCs w:val="18"/>
          <w:color w:val="auto"/>
        </w:rPr>
        <w:t xml:space="preserve"> of ~200 pM, in the presence of Nectin4-expressing tumor cells. TNFa production was measured as a marker of myeloid cell activation. The levels of TNFa induced by SBT6290 matched those observed with SBT6050 when tested in a similar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 Not only did these data highlight the Nectin4-dependent activity of SBT6290, but also demonstrated that the TLR8 linker-payload used in SBT6050 was transferable to antibodies directed to diverse antigens.</w:t>
      </w: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SBT6290 Potently Activated Human Myeloid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165735</wp:posOffset>
            </wp:positionV>
            <wp:extent cx="2785745" cy="2057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8574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40"/>
          </w:cols>
          <w:pgMar w:left="320" w:top="459" w:right="5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80" w:firstLine="551"/>
        <w:spacing w:after="0" w:line="238" w:lineRule="auto"/>
        <w:rPr>
          <w:sz w:val="20"/>
          <w:szCs w:val="20"/>
          <w:color w:val="auto"/>
        </w:rPr>
      </w:pPr>
      <w:r>
        <w:rPr>
          <w:rFonts w:ascii="Arial" w:cs="Arial" w:eastAsia="Arial" w:hAnsi="Arial"/>
          <w:sz w:val="18"/>
          <w:szCs w:val="18"/>
          <w:color w:val="auto"/>
        </w:rPr>
        <w:t>Nectin4 was recently described to be a ligand for T cell immunoglobulin and ITIM domain (TIGIT). TIGIT has emerged as an inhibitor of anti-tumor immune responses and several agents inhibiting this pathway are being tested in clinical trials. In addition to SBT6290’s primary mechanism of action through TLR8 activation, the figure below demonstrated that the binding of TIGIT to Nectin4-expressing tumor cells was blocked by the binding domain of SBT6290.</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SBT6290 Binding Domain Blocked TIGIT Binding to Nectin4-Expressing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165735</wp:posOffset>
            </wp:positionV>
            <wp:extent cx="2023110" cy="21602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2311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 xml:space="preserve">We engineered a mouse surrogate of SBT6290 (SBT6290-S) using a TLR7 agonist conjugated to a Nectin4 monoclonal antibody to account for species differences in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as was described for SBT6050. As shown in the figure below, SBT6290-S improved overall survival in a Nectin4-expressing EMT6 mouse model. This study was powered for statistical significance using survival as a readout which is defined as tumor size remaining below 1,000 mm</w:t>
      </w:r>
      <w:r>
        <w:rPr>
          <w:rFonts w:ascii="Arial" w:cs="Arial" w:eastAsia="Arial" w:hAnsi="Arial"/>
          <w:sz w:val="15"/>
          <w:szCs w:val="15"/>
          <w:color w:val="auto"/>
        </w:rPr>
        <w:t>3</w:t>
      </w:r>
      <w:r>
        <w:rPr>
          <w:rFonts w:ascii="Arial" w:cs="Arial" w:eastAsia="Arial" w:hAnsi="Arial"/>
          <w:sz w:val="18"/>
          <w:szCs w:val="18"/>
          <w:color w:val="auto"/>
        </w:rPr>
        <w:t>. SBT6290-S demonstrated a statistically significant improvement in survival as compared to the two control groups as noted in the figure below.</w:t>
      </w:r>
    </w:p>
    <w:p>
      <w:pPr>
        <w:spacing w:after="0" w:line="288" w:lineRule="exact"/>
        <w:rPr>
          <w:sz w:val="20"/>
          <w:szCs w:val="20"/>
          <w:color w:val="auto"/>
        </w:rPr>
      </w:pPr>
    </w:p>
    <w:p>
      <w:pPr>
        <w:jc w:val="center"/>
        <w:ind w:left="440" w:right="120"/>
        <w:spacing w:after="0" w:line="271" w:lineRule="auto"/>
        <w:rPr>
          <w:sz w:val="20"/>
          <w:szCs w:val="20"/>
          <w:color w:val="auto"/>
        </w:rPr>
      </w:pPr>
      <w:r>
        <w:rPr>
          <w:rFonts w:ascii="Arial" w:cs="Arial" w:eastAsia="Arial" w:hAnsi="Arial"/>
          <w:sz w:val="18"/>
          <w:szCs w:val="18"/>
          <w:b w:val="1"/>
          <w:bCs w:val="1"/>
          <w:i w:val="1"/>
          <w:iCs w:val="1"/>
          <w:color w:val="auto"/>
        </w:rPr>
        <w:t>Administration of SBT6290-S as Monotherapy Resulted in Improved Overall Survival in a Nectin4-Expressing EMT6 Preclinical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128905</wp:posOffset>
            </wp:positionV>
            <wp:extent cx="3086100" cy="2459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8610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520" w:firstLine="551"/>
        <w:spacing w:after="0"/>
        <w:rPr>
          <w:sz w:val="20"/>
          <w:szCs w:val="20"/>
          <w:color w:val="auto"/>
        </w:rPr>
      </w:pPr>
      <w:r>
        <w:rPr>
          <w:rFonts w:ascii="Arial" w:cs="Arial" w:eastAsia="Arial" w:hAnsi="Arial"/>
          <w:sz w:val="18"/>
          <w:szCs w:val="18"/>
          <w:color w:val="auto"/>
        </w:rPr>
        <w:t>As shown in the figure below, subcutaneous administration of SBT6290-S to mice bearing Nectin4-expressing EMT6 tumors induced the production of cytokines and chemokines in the tumors of treated mice. MCP-1 and IP-10 upregulation are indicative of myeloid cell activation and IFNg and IL-2 production are indicative of T cell activation in the treated mice.</w:t>
      </w:r>
    </w:p>
    <w:p>
      <w:pPr>
        <w:spacing w:after="0" w:line="302" w:lineRule="exact"/>
        <w:rPr>
          <w:sz w:val="20"/>
          <w:szCs w:val="20"/>
          <w:color w:val="auto"/>
        </w:rPr>
      </w:pPr>
    </w:p>
    <w:p>
      <w:pPr>
        <w:jc w:val="center"/>
        <w:ind w:left="520" w:right="160"/>
        <w:spacing w:after="0" w:line="271" w:lineRule="auto"/>
        <w:rPr>
          <w:sz w:val="20"/>
          <w:szCs w:val="20"/>
          <w:color w:val="auto"/>
        </w:rPr>
      </w:pPr>
      <w:r>
        <w:rPr>
          <w:rFonts w:ascii="Arial" w:cs="Arial" w:eastAsia="Arial" w:hAnsi="Arial"/>
          <w:sz w:val="18"/>
          <w:szCs w:val="18"/>
          <w:b w:val="1"/>
          <w:bCs w:val="1"/>
          <w:i w:val="1"/>
          <w:iCs w:val="1"/>
          <w:color w:val="auto"/>
        </w:rPr>
        <w:t>Administration of SBT6290-S as Monotherapy Induced the Production of Cytokines and Chemokines in Nectin4-Expressing EMT6Tumors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128905</wp:posOffset>
            </wp:positionV>
            <wp:extent cx="5186045" cy="3282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86045"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firstLine="551"/>
        <w:spacing w:after="0" w:line="252" w:lineRule="auto"/>
        <w:rPr>
          <w:sz w:val="20"/>
          <w:szCs w:val="20"/>
          <w:color w:val="auto"/>
        </w:rPr>
      </w:pPr>
      <w:r>
        <w:rPr>
          <w:rFonts w:ascii="Arial" w:cs="Arial" w:eastAsia="Arial" w:hAnsi="Arial"/>
          <w:sz w:val="17"/>
          <w:szCs w:val="17"/>
          <w:color w:val="auto"/>
        </w:rPr>
        <w:t>In a single and repeat dose exploratory safety study, Nectin4-TLR8 conjugate was administered subcutaneously to NHP at a dose level &gt;10-fold of the anticipated, minimum pharmacologically active dose level, a dose that was also evaluated with SBT6050. The overall safety, tolerability, PK and PD findings of the Nectin4-TLR8 conjugate were very similar to those observed with SBT6050 at this dose. A non-GLP toxicology study for SBT6290 has been completed, and we believe the results are supportive of a wide therapeutic window similar to that observed with SBT6050. GLP NHP toxicity studies are expected to commence in first half of 2021. In parallel, we are in the process of creating a master cell bank for GMP production of SBT6290. In our pre-IND interactions with the FDA that took place in February 2021, alignment on SBT6290 preclinical, Chemistry, Manufacturing, and Controls (CMC), and clinical plans was achieved. We anticipate submitting the SBT6290 IND in the fourth quarter of 2021 and initiating a Phase 1 clinical trial in the first quarter of 2022.</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320" w:top="459"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SBT8230: TLR8 Agonist Conjugated to an ASGR1 Antibody</w:t>
      </w:r>
    </w:p>
    <w:p>
      <w:pPr>
        <w:spacing w:after="0" w:line="12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As our lead virology program, we have engineered SBT8230 to treat cHBV using our ImmunoTAC platform. SBT8230 is comprised of an ASGR1 monoclonal antibody conjugated to the same TLR8 linker-payload as SBT6050 and SBT6290 and is designed to elicit an anti-viral immune response by targeting TLR8 activation to the liver.</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cHBV infection remains a worldwide problem affecting approximately 257 million people and contributing to an estimated 887,000 deaths in 2015. In the United States alone, approximately 860,000 people suffer from cHBV. cHBV is estimated to be the cause of 60-80% of the world’s primary liver cancers. There is a significant unmet need for therapies that can elicit a functional cure for the disease, which is defined as sustained loss of hepatitis B surface antigen (HBsAg) in the blood. Many of the approved therapies for cHBV have low functional cure rates or lack durability over time.</w:t>
      </w:r>
    </w:p>
    <w:p>
      <w:pPr>
        <w:spacing w:after="0" w:line="189" w:lineRule="exact"/>
        <w:rPr>
          <w:sz w:val="20"/>
          <w:szCs w:val="20"/>
          <w:color w:val="auto"/>
        </w:rPr>
      </w:pPr>
    </w:p>
    <w:p>
      <w:pPr>
        <w:ind w:left="120" w:right="20" w:firstLine="551"/>
        <w:spacing w:after="0" w:line="249" w:lineRule="auto"/>
        <w:rPr>
          <w:sz w:val="20"/>
          <w:szCs w:val="20"/>
          <w:color w:val="auto"/>
        </w:rPr>
      </w:pPr>
      <w:r>
        <w:rPr>
          <w:rFonts w:ascii="Arial" w:cs="Arial" w:eastAsia="Arial" w:hAnsi="Arial"/>
          <w:sz w:val="18"/>
          <w:szCs w:val="18"/>
          <w:color w:val="auto"/>
        </w:rPr>
        <w:t>Clinical and preclinical evidence by third parties have demonstrated that IFNg-mediated immune responses, including the activation of IFNg+ T cell and IgG B cell anti-viral responses, can lead to a functional cure in cHBV patients and animal models of HBV. In HBV transgenic mice, HBV-specific CD4 and CD8 T cells have exhibited the ability to inhibit hepatocellular replication by a noncytopathic process that is mediated primarily by IFNg. In acutely infected chimpanzees, viral replication was almost completely abolished soon after CD3 and IFNg mRNA increased in the liver. Evidence by third parties has demonstrated that HBV-specific IFNg producing CD4 T cells were associated with viral clearance in patients with cHBV infection. Additionally, these studies have demonstrated that TLR8 agonists were particularly effective in activation of myeloid cells and the induction of IFNg. The figure below shows IFNg production after human blood or liver-derived mononuclear cells were stimulated with the indicated TLR agonist. TLR8 was unique in its ability to induce IFNg.</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TLR8 Drove IFN</w:t>
      </w:r>
      <w:r>
        <w:rPr>
          <w:rFonts w:ascii="Arial" w:cs="Arial" w:eastAsia="Arial" w:hAnsi="Arial"/>
          <w:sz w:val="18"/>
          <w:szCs w:val="18"/>
          <w:color w:val="auto"/>
        </w:rPr>
        <w:t>g</w:t>
      </w:r>
      <w:r>
        <w:rPr>
          <w:rFonts w:ascii="Arial" w:cs="Arial" w:eastAsia="Arial" w:hAnsi="Arial"/>
          <w:sz w:val="18"/>
          <w:szCs w:val="18"/>
          <w:b w:val="1"/>
          <w:bCs w:val="1"/>
          <w:i w:val="1"/>
          <w:iCs w:val="1"/>
          <w:color w:val="auto"/>
        </w:rPr>
        <w:t xml:space="preserve"> Production from Liver Mononuclear Cells in Third Party Preclinical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174625</wp:posOffset>
            </wp:positionV>
            <wp:extent cx="2219960" cy="22542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1996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addition, the figures below show concentrations of individual cytokines quantified in the supernatant of purified PBMC or isolated mononuclear cells from the liver after stimulation with either a TLR8 or TLR7 agonist. TLR8 agonism, but not TLR7 agonism, induced IFNg production, along with the production of other cytokines important in the generation of anti-viral immunity such as TNFa, IL-1ß, and IL-6, from both liver and blood immune cells. We believe these data from third parties demonstrate that TLR8 is the agonist of choice for improving the outcome for patients with cHBV.</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TLR8 Agonism Drove Cytokine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20231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8604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Figure source: Jo et al, PLOS Pathogens, 2014.</w:t>
      </w:r>
    </w:p>
    <w:p>
      <w:pPr>
        <w:spacing w:after="0" w:line="22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 preclinical woodchuck model of cHBV conducted by a third party, oral administration of a TLR8 agonist small molecule, GS-9688 (selgantolimod), was shown to drive seroconversion and reduce woodchuck hepatitis virus S antigen and woodchuck hepatitis B viral levels. Selgantolimod’s effectiveness in cHBV patients has been limited, however. We believe (i) this is due to not achieving necessary exposures because of DLTs associated with activation of myeloid cells outside of the liver and (ii) that systemically delivered but liver localized TLR8 agonism could improve the potential for effective therapy and lead to functional cures in cHBV.</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SBT8230 is a Liver-Localized TLR8 Agonist Designed to Achieve Functional Cure in cHBV</w:t>
      </w:r>
    </w:p>
    <w:p>
      <w:pPr>
        <w:spacing w:after="0" w:line="126"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As shown in the figure below, we designed SBT8230 to be comprised of an ASGR1 monoclonal antibody conjugated to a TLR8 linker-payload with the goal of activating the myeloid cell compartment in liver tissue only. The conjugate is designed to be internalized in myeloid cells in an FcR-mediated manner when ASGR1 is present on adjacent liver cells.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spacing w:after="0" w:line="271" w:lineRule="auto"/>
        <w:rPr>
          <w:sz w:val="20"/>
          <w:szCs w:val="20"/>
          <w:color w:val="auto"/>
        </w:rPr>
      </w:pPr>
      <w:r>
        <w:rPr>
          <w:rFonts w:ascii="Arial" w:cs="Arial" w:eastAsia="Arial" w:hAnsi="Arial"/>
          <w:sz w:val="18"/>
          <w:szCs w:val="18"/>
          <w:b w:val="1"/>
          <w:bCs w:val="1"/>
          <w:i w:val="1"/>
          <w:iCs w:val="1"/>
          <w:color w:val="auto"/>
        </w:rPr>
        <w:t>Potential Mechanism of Action: SBT8230 is Designed to Localize TLR8 Activation of Myeloid Cells in the Liver Via a Directed ASGR1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128905</wp:posOffset>
            </wp:positionV>
            <wp:extent cx="5186045" cy="2888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8604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right="160" w:firstLine="551"/>
        <w:spacing w:after="0" w:line="282" w:lineRule="auto"/>
        <w:rPr>
          <w:sz w:val="20"/>
          <w:szCs w:val="20"/>
          <w:color w:val="auto"/>
        </w:rPr>
      </w:pPr>
      <w:r>
        <w:rPr>
          <w:rFonts w:ascii="Arial" w:cs="Arial" w:eastAsia="Arial" w:hAnsi="Arial"/>
          <w:sz w:val="18"/>
          <w:szCs w:val="18"/>
          <w:color w:val="auto"/>
        </w:rPr>
        <w:t xml:space="preserve">As shown in the figures below, in our preclinical studies utilizing human PBMCs </w:t>
      </w:r>
      <w:r>
        <w:rPr>
          <w:rFonts w:ascii="Arial" w:cs="Arial" w:eastAsia="Arial" w:hAnsi="Arial"/>
          <w:sz w:val="18"/>
          <w:szCs w:val="18"/>
          <w:i w:val="1"/>
          <w:iCs w:val="1"/>
          <w:color w:val="auto"/>
        </w:rPr>
        <w:t>ex vivo</w:t>
      </w:r>
      <w:r>
        <w:rPr>
          <w:rFonts w:ascii="Arial" w:cs="Arial" w:eastAsia="Arial" w:hAnsi="Arial"/>
          <w:sz w:val="18"/>
          <w:szCs w:val="18"/>
          <w:color w:val="auto"/>
        </w:rPr>
        <w:t>, ASGR1-TLR8 induced IFNg-promoting activity through its activation of myeloid cells.</w:t>
      </w:r>
    </w:p>
    <w:p>
      <w:pPr>
        <w:spacing w:after="0" w:line="252" w:lineRule="exact"/>
        <w:rPr>
          <w:sz w:val="20"/>
          <w:szCs w:val="20"/>
          <w:color w:val="auto"/>
        </w:rPr>
      </w:pPr>
    </w:p>
    <w:p>
      <w:pPr>
        <w:ind w:left="1680"/>
        <w:spacing w:after="0"/>
        <w:rPr>
          <w:sz w:val="20"/>
          <w:szCs w:val="20"/>
          <w:color w:val="auto"/>
        </w:rPr>
      </w:pPr>
      <w:r>
        <w:rPr>
          <w:rFonts w:ascii="Arial" w:cs="Arial" w:eastAsia="Arial" w:hAnsi="Arial"/>
          <w:sz w:val="18"/>
          <w:szCs w:val="18"/>
          <w:b w:val="1"/>
          <w:bCs w:val="1"/>
          <w:i w:val="1"/>
          <w:iCs w:val="1"/>
          <w:color w:val="auto"/>
        </w:rPr>
        <w:t>ASGR1-TLR8 Potently Activated Human Myeloid Cells, Resulting in a Robust IFN</w:t>
      </w:r>
      <w:r>
        <w:rPr>
          <w:rFonts w:ascii="Arial" w:cs="Arial" w:eastAsia="Arial" w:hAnsi="Arial"/>
          <w:sz w:val="18"/>
          <w:szCs w:val="18"/>
          <w:color w:val="auto"/>
        </w:rPr>
        <w:t>g</w:t>
      </w:r>
      <w:r>
        <w:rPr>
          <w:rFonts w:ascii="Arial" w:cs="Arial" w:eastAsia="Arial" w:hAnsi="Arial"/>
          <w:sz w:val="18"/>
          <w:szCs w:val="18"/>
          <w:b w:val="1"/>
          <w:bCs w:val="1"/>
          <w:i w:val="1"/>
          <w:iCs w:val="1"/>
          <w:color w:val="auto"/>
        </w:rPr>
        <w:t xml:space="preserv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174625</wp:posOffset>
            </wp:positionV>
            <wp:extent cx="5186045" cy="24085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8604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Activation of human myeloid cells by TLR8 was mirrored in mouse myeloid cells by TLR7 as was demonstrated previously in the SBT6050 and SBT6290 programs. Therefore, to evaluate the ability of</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320" w:top="459" w:right="6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a liver-targeted myeloid cell agonist conjugate to drive seroconversion in a mouse model of cHBV, we engineered a surrogate for SBT8230 comprised of an ASGR1 monoclonal antibody conjugated to a TLR7 agonist (ASGR1-S). The antibody contained an IgG2a Fc domain to facilitate uptake into mouse myeloid cells.</w:t>
      </w:r>
    </w:p>
    <w:p>
      <w:pPr>
        <w:spacing w:after="0" w:line="189"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Seroconversion, together with reductions in HBsAg levels and expansion of IFNg-producing anti-viral T cells, is associated with achievement of functional cures in cHBV. The AAV-HBV (adenovirus-hepatis B virus) mouse model is a commonly used preclinical model for cHBV. Paralleling their inability to drive seroconversion in cHBV patients, cHBV standard of care therapies and other agents that target the HBV life cycle such as capsid inhibitors, have not resulted in seroconversion in this or similar models. In contrast, statistically significant increases in seroconversion and reductions in HBsAg was demonstrated with ASGR-S as compared to the vehicle and unconjugated antibody control groups in the AAV-HBV model, as shown in the figures below.</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ASGR1-S Reduced HBsAg and Drove Seroconversion in Mouse AAV-HBV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2339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8604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right="680" w:firstLine="551"/>
        <w:spacing w:after="0" w:line="246" w:lineRule="auto"/>
        <w:rPr>
          <w:sz w:val="20"/>
          <w:szCs w:val="20"/>
          <w:color w:val="auto"/>
        </w:rPr>
      </w:pPr>
      <w:r>
        <w:rPr>
          <w:rFonts w:ascii="Arial" w:cs="Arial" w:eastAsia="Arial" w:hAnsi="Arial"/>
          <w:sz w:val="18"/>
          <w:szCs w:val="18"/>
          <w:color w:val="auto"/>
        </w:rPr>
        <w:t>In addition, ASGR1-S treatment generated potent anti-viral T cell and B cell immune responses and significantly increased anti-HBV core and S antigen IFNg+ T cells and anti-HBsAg+ B cells, as shown in the figures below.</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ASGR1-S Increased IFN</w:t>
      </w:r>
      <w:r>
        <w:rPr>
          <w:rFonts w:ascii="Arial" w:cs="Arial" w:eastAsia="Arial" w:hAnsi="Arial"/>
          <w:sz w:val="18"/>
          <w:szCs w:val="18"/>
          <w:color w:val="auto"/>
        </w:rPr>
        <w:t>g</w:t>
      </w:r>
      <w:r>
        <w:rPr>
          <w:rFonts w:ascii="Arial" w:cs="Arial" w:eastAsia="Arial" w:hAnsi="Arial"/>
          <w:sz w:val="18"/>
          <w:szCs w:val="18"/>
          <w:b w:val="1"/>
          <w:bCs w:val="1"/>
          <w:i w:val="1"/>
          <w:iCs w:val="1"/>
          <w:color w:val="auto"/>
        </w:rPr>
        <w:t>+ Anti-Viral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174625</wp:posOffset>
            </wp:positionV>
            <wp:extent cx="3625850" cy="17487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2585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ASGR1-S Increased B Cells Producing Anti-HBs Antigen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165735</wp:posOffset>
            </wp:positionV>
            <wp:extent cx="3257550" cy="18859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755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Importantly, as shown in the figures below, no changes in serum ALT or body weight were noted after treatment with ASGR1-S as compared to controls. In addition, there were no findings in the liver by histopathology after treatment with ASGR1-S. Together, these data indicated that ASGR1-S was well tolerated in the mouse AAV-HBV model.</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ASGR1-S Was Well Tolerated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20142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8604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200" w:firstLine="551"/>
        <w:spacing w:after="0" w:line="261" w:lineRule="auto"/>
        <w:rPr>
          <w:sz w:val="20"/>
          <w:szCs w:val="20"/>
          <w:color w:val="auto"/>
        </w:rPr>
      </w:pPr>
      <w:r>
        <w:rPr>
          <w:rFonts w:ascii="Arial" w:cs="Arial" w:eastAsia="Arial" w:hAnsi="Arial"/>
          <w:sz w:val="17"/>
          <w:szCs w:val="17"/>
          <w:color w:val="auto"/>
        </w:rPr>
        <w:t>Initial exploratory NHP toxicology studies demonstrated a wide therapeutic window. Preclinical studies in mice and NHP for our ASGR1-TLR8 ImmunoTAC candidate are ongoing. We selected a development candidate for this program in the fourth quarter of 2020, and we anticipate initiating IND enabling toxicity studies in the first quarter of 2022 and submitting the IND in the second half of 2022.</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Programs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Immuno-Oncology Programs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 xml:space="preserve">In addition to HER2 and Nectin4, we have selected two undisclosed targets that may enable us to address a broader range of solid tumor indications. In these programs, the antibodies have been created and conjugated to the same TLR8 linker-payload utilized in SBT6050 and SBT6290. In addition, our undisclosed product candidates display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activity profile on human immune cells similar to that of SBT6050 and SBT6290. Further, one of these conjugates was evaluated in an exploratory NHP toxicology study with repeat subcutaneous dosing. The dose level evaluated in this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study was previously used in NHP toxicology studies with SBT6050 and SBT6290 to demonstrate a therapeutic window. At this dose level, the undisclosed product candidate was found to have a similar tolerability profile to SBT6050 and SBT6290, indicating that it may have a similar therapeutic window.</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Fibrosis Program: TGFßR1 Antagonist Conjugated to an ASGR1 Antibody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designed our ASGR1-TGFßR1 antagonist conjugate to achieve liver-localized inhibition of TGFß-signaling to treat fibrosis.</w:t>
      </w:r>
    </w:p>
    <w:p>
      <w:pPr>
        <w:spacing w:after="0" w:line="212"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Fibrosis is the overgrowth, hardening and scarring of tissue due to accumulation of extracellular matrix molecules, such as collagen, that is produced by fibroblasts. Chronic fibrotic diseases often result in widespread distortion of normal tissue architecture and account for up to 45% of deaths in the United States. Fibrosis can occur in most major tissues, however idiopathic pulmonary fibrosis and hepatic cirrhosis are among the more common fibrotic diseases.</w:t>
      </w:r>
    </w:p>
    <w:p>
      <w:pPr>
        <w:spacing w:after="0" w:line="205"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Hepatic cirrhosis and hepatocellular carcinoma (HCC) are leading causes of morbidity and mortality worldwide. Patients with liver cirrhosis are at high risk of deadly hepatic failure and approximately 80%-90% of HCC develop on a cirrhotic background. HCC ranks as the sixth most common cancer and, with over 600,000 deaths per annum, it constitutes a major global health problem. The most common causes of hepatic cirrhosis in the United States are hepatitis C, alcoholic liver disease, and nonalcoholic liver disease.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TGFß Pathway and its Role in Fibrosis</w:t>
      </w:r>
    </w:p>
    <w:p>
      <w:pPr>
        <w:spacing w:after="0" w:line="122" w:lineRule="exact"/>
        <w:rPr>
          <w:sz w:val="20"/>
          <w:szCs w:val="20"/>
          <w:color w:val="auto"/>
        </w:rPr>
      </w:pPr>
    </w:p>
    <w:p>
      <w:pPr>
        <w:ind w:left="120" w:right="400" w:firstLine="551"/>
        <w:spacing w:after="0" w:line="238" w:lineRule="auto"/>
        <w:rPr>
          <w:sz w:val="20"/>
          <w:szCs w:val="20"/>
          <w:color w:val="auto"/>
        </w:rPr>
      </w:pPr>
      <w:r>
        <w:rPr>
          <w:rFonts w:ascii="Arial" w:cs="Arial" w:eastAsia="Arial" w:hAnsi="Arial"/>
          <w:sz w:val="18"/>
          <w:szCs w:val="18"/>
          <w:color w:val="auto"/>
        </w:rPr>
        <w:t>Progress has been made to treat the underlying etiologies initiating liver fibrosis, yet significant needs remain for therapies that slow, halt, or reverse fibrosis and thereby prevent late-stage liver failure and HCC. TGFß signaling is a key mediator of liver fibrosis initiation and progression through multiple mechanisms, including hepatocyte apoptosis, hepatic stellate cell transdifferentiation to myofibroblasts, and pro-fibrotic macrophage activation.</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TGFß is secreted by many cell types and is implicated in a wide range of cell functions, critically regulating tissue homeostasis and repair, immune and inflammatory responses, extracellular matrix deposition, and cell differentiation and growth. In healthy tissues, TGFß is expressed at a low level to enable homeostatic mechanisms and is also transiently upregulated in response to tissue injury, which initiates a cascade that results in collagen production and, ultimately, healing of the tissue. In fibrotic tissue, TGFß production and signaling is dysregulated and perpetuated, leading to excess collagen deposition in the absence of acute tissue injury.</w:t>
      </w:r>
    </w:p>
    <w:p>
      <w:pPr>
        <w:spacing w:after="0" w:line="20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While inhibiting the TGFß receptor kinase domains is the most direct way to down-regulate TGFß signaling, systemic availability of TGFß receptor 1 (TGFßR1) antagonists is associated with DLTs due to the homeostatic functions of TGFß in multiple organ systems. Preventing TGFß activity with antibody blockade of ligands or their activation machinery is challenging due to the presence of multiple ligands and activation mechanisms, and TGFß’s sequestration in extracellular matrix. We believe a systemically delivered TGFßR1 antagonist with liver-localized activity has the potential to ameliorate liver fibrosis while avoiding the toxicities associated with non-targeted TGFß receptor inhibition.</w:t>
      </w:r>
    </w:p>
    <w:p>
      <w:pPr>
        <w:spacing w:after="0" w:line="205" w:lineRule="exact"/>
        <w:rPr>
          <w:sz w:val="20"/>
          <w:szCs w:val="20"/>
          <w:color w:val="auto"/>
        </w:rPr>
      </w:pPr>
    </w:p>
    <w:p>
      <w:pPr>
        <w:jc w:val="both"/>
        <w:ind w:left="120" w:right="140" w:firstLine="551"/>
        <w:spacing w:after="0" w:line="238" w:lineRule="auto"/>
        <w:rPr>
          <w:sz w:val="20"/>
          <w:szCs w:val="20"/>
          <w:color w:val="auto"/>
        </w:rPr>
      </w:pPr>
      <w:r>
        <w:rPr>
          <w:rFonts w:ascii="Arial" w:cs="Arial" w:eastAsia="Arial" w:hAnsi="Arial"/>
          <w:sz w:val="18"/>
          <w:szCs w:val="18"/>
          <w:color w:val="auto"/>
        </w:rPr>
        <w:t>Using a similar strategy of liver localization that was employed in our cHBV program, as shown in the figure below, we engineered an ASGR1-TGFßR1 antagonist ImmunoTAC intended to inhibit the TGFß pathway to treat liver fibrosis. ASGR1 is a scavenger receptor that is highly expressed exclusively on hepatocytes and internalizes and recycles rapidly upon engagement. Thus, the ASGR1-TGFßR1 antagonist conjugate is designed for systemic administration with liver-localized inhibition of the TGFß receptor.</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ASGR1-TGFßR1 ImmunoTAC Therapeutic is Designed for Liver-Localized TGFß Signaling Inhibition for Anti-Fibrotic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173355</wp:posOffset>
            </wp:positionV>
            <wp:extent cx="4723130" cy="29146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2313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 xml:space="preserve">As shown in the figure below, our initial preclinical studies with ASGR1-TGFßR1 antagonist conjugates demonstrated potent inhibition of TGFß signaling </w:t>
      </w:r>
      <w:r>
        <w:rPr>
          <w:rFonts w:ascii="Arial" w:cs="Arial" w:eastAsia="Arial" w:hAnsi="Arial"/>
          <w:sz w:val="18"/>
          <w:szCs w:val="18"/>
          <w:i w:val="1"/>
          <w:iCs w:val="1"/>
          <w:color w:val="auto"/>
        </w:rPr>
        <w:t>in vitro</w:t>
      </w:r>
      <w:r>
        <w:rPr>
          <w:rFonts w:ascii="Arial" w:cs="Arial" w:eastAsia="Arial" w:hAnsi="Arial"/>
          <w:sz w:val="18"/>
          <w:szCs w:val="18"/>
          <w:color w:val="auto"/>
        </w:rPr>
        <w:t>. This activity was dependent on ASGR1 binding as no activity was observed on cells with low or no ASGR1 expression.</w:t>
      </w:r>
    </w:p>
    <w:p>
      <w:pPr>
        <w:spacing w:after="0" w:line="289" w:lineRule="exact"/>
        <w:rPr>
          <w:sz w:val="20"/>
          <w:szCs w:val="20"/>
          <w:color w:val="auto"/>
        </w:rPr>
      </w:pPr>
    </w:p>
    <w:p>
      <w:pPr>
        <w:jc w:val="center"/>
        <w:ind w:left="660" w:right="180"/>
        <w:spacing w:after="0" w:line="443" w:lineRule="auto"/>
        <w:rPr>
          <w:sz w:val="20"/>
          <w:szCs w:val="20"/>
          <w:color w:val="auto"/>
        </w:rPr>
      </w:pPr>
      <w:r>
        <w:rPr>
          <w:rFonts w:ascii="Arial" w:cs="Arial" w:eastAsia="Arial" w:hAnsi="Arial"/>
          <w:sz w:val="18"/>
          <w:szCs w:val="18"/>
          <w:b w:val="1"/>
          <w:bCs w:val="1"/>
          <w:i w:val="1"/>
          <w:iCs w:val="1"/>
          <w:color w:val="auto"/>
        </w:rPr>
        <w:t xml:space="preserve">ASGR1-TGFßR1 ImmunoTAC Therapeutic: Potent and Complete Inhibition of TGFß Signaling in pSMAD Reporter Assay </w:t>
      </w:r>
      <w:r>
        <w:rPr>
          <w:rFonts w:ascii="Arial" w:cs="Arial" w:eastAsia="Arial" w:hAnsi="Arial"/>
          <w:sz w:val="18"/>
          <w:szCs w:val="18"/>
          <w:color w:val="auto"/>
        </w:rPr>
        <w:t>36</w:t>
      </w:r>
    </w:p>
    <w:p>
      <w:pPr>
        <w:sectPr>
          <w:pgSz w:w="11900" w:h="16838" w:orient="portrait"/>
          <w:cols w:equalWidth="0" w:num="1">
            <w:col w:w="10900"/>
          </w:cols>
          <w:pgMar w:left="320" w:top="459" w:right="6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ASGR1</w:t>
      </w:r>
      <w:r>
        <w:rPr>
          <w:rFonts w:ascii="Arial" w:cs="Arial" w:eastAsia="Arial" w:hAnsi="Arial"/>
          <w:sz w:val="15"/>
          <w:szCs w:val="15"/>
          <w:b w:val="1"/>
          <w:bCs w:val="1"/>
          <w:color w:val="auto"/>
        </w:rPr>
        <w:t>pos</w:t>
      </w:r>
      <w:r>
        <w:rPr>
          <w:rFonts w:ascii="Arial" w:cs="Arial" w:eastAsia="Arial" w:hAnsi="Arial"/>
          <w:sz w:val="18"/>
          <w:szCs w:val="18"/>
          <w:b w:val="1"/>
          <w:bCs w:val="1"/>
          <w:color w:val="auto"/>
        </w:rPr>
        <w:t xml:space="preserve"> pSMAD Reporter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165735</wp:posOffset>
            </wp:positionV>
            <wp:extent cx="3402965" cy="22631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0296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Preclinical studies in mouse disease models are ongoing for this program.</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left="120" w:right="300" w:firstLine="551"/>
        <w:spacing w:after="0" w:line="257" w:lineRule="auto"/>
        <w:rPr>
          <w:sz w:val="20"/>
          <w:szCs w:val="20"/>
          <w:color w:val="auto"/>
        </w:rPr>
      </w:pPr>
      <w:r>
        <w:rPr>
          <w:rFonts w:ascii="Arial" w:cs="Arial" w:eastAsia="Arial" w:hAnsi="Arial"/>
          <w:sz w:val="17"/>
          <w:szCs w:val="17"/>
          <w:color w:val="auto"/>
        </w:rPr>
        <w:t>The pharmaceutical industry is highly competitive and dynamic, owing to rapidly advancing technologies. We face potential competition from many different sources, including major pharmaceutical, specialty pharmaceutical and biotechnology companies, academic institutions, government agencies and public and private research institutions. Any product candidates that we successfully develop and commercialize will compete with existing treatments and new treatments that may become available in the future.</w:t>
      </w:r>
    </w:p>
    <w:p>
      <w:pPr>
        <w:spacing w:after="0" w:line="189"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compete with other companies working to develop immunotherapies and targeted therapies for the treatment of cancer including divisions of large pharmaceutical and biotechnology companies of various sizes. These companies are developing therapies of many different modalities including small molecules, monoclonal antibodies, antibody-drug conjugates, bi-specific antibodies, cell therapies, oncolytic viruses and vaccines.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Specifically, there are many companies pursuing a variety of approaches to TLR-directed therapies, including Apros Therapeutics, Ascendis, BioNTech, Bolt Biotherapeutics, Bristol Myers Squibb, Checkmate Pharmaceuticals, CureVac, Exicure, Galaderma, Gilead, Idera, Mologen, Nektar, Novartis, Primmune Therapeutics, Roche, Seven&amp;Eight, Shanghai De Novo, Sumitomo Dainippon, TriSalus, and UroGen. Other companies using antibody-drug conjugates to target innate immune receptors include Actym Therapeutics, Mersana, and Takeda Pharmaceuticals. Immunotherapy and validated pathway approaches are further being pursued by many smaller biotechnology companies as well as larger pharmaceutical companies. We also face competition from validated pathway therapy treatments offered by companies such as AstraZeneca, Byondis, Daiichi Sankyo, Genentech, MacroGenics, Pieris, Puma, Seagen (formerly Seattle Genetics), Spectrum Pharmaceuticals, and Zymeworks. We also face competition from companies that continue to invest in innovation in the antibody-drug conjugate field, including but not limited to AbbVie, ADC Therapeutics, Astellas, BioAtla, Celldex, CytomX, Eli Lilly and Company, GlaxoSmithKline, Genmab, ImmunoGen, Immunomedics, Millennium Pharmaceuticals, MorphoSys AG, Novartis, Pfizer, Sanofi, Seagen (formerly Seattle Genetics), Sutro Biopharma, and VelosBio.</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320" w:top="459" w:right="5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Many of our competitors, either alone or with their collaboration partners, have significantly greater financial resources and expertise in research and development, preclinical testing, clinical trials, manufacturing, and marketing than we do. Future collaborations and mergers and acquisitions may result in further resource concentration among a smaller number of competitors. Smaller or early-stage companies may also prove to be significant competitors, particularly through collaborative arrangements with large and established companies. These competitors will also compete with us in recruiting and retaining qualified scientific and management personnel and establishing clinical trial sites and subject registration for clinical trials, as well as in acquiring technologies complementary to, or that may be necessary for, our programs.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 key competitive factors affecting the success of all of our programs are likely to be efficacy, safety and convenience.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6"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7"/>
          <w:szCs w:val="17"/>
          <w:color w:val="auto"/>
        </w:rPr>
        <w:t>Our antibody-drug conjugate is produced by chemical conjugation of a non-cytotoxic linker-payload to a monoclonal antibody. We have significant internal expertise in engineering and humanization of antibodies and designing linker-payloads to customize the drug conjugate for a desired target profile. The small molecule linker-payload is chemically synthesized, and the antibody is produced by conventional biological process technology. The manufacturing process involves production of the linker-payload and antibody process intermediates, the conjugation of the intermediates to produce bulk therapeutic substance, and fill/finish of the therapeutic product.</w:t>
      </w:r>
    </w:p>
    <w:p>
      <w:pPr>
        <w:spacing w:after="0" w:line="190"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We do not own or operate, and currently have no plans to establish, any manufacturing facilities subject to compliance with current good manufacturing practices (cGMP). We operate on an outsourced model and rely on contracts with third-party development and manufacturing organizations designed to comply with cGMPs to produce and test the intermediates, therapeutic substance and therapeutic product to support clinical development, and commercialization, if any of our product candidates obtain marketing approval. We are working with these manufacturers to scale up our manufacturing capabilities to support our clinical plans. We also rely on third parties to package, label, store and distribute our product candidates, as well as for our commercial products if marketing approval is obtained. We believe that this strategy allows us to maintain a more efficient infrastructure by eliminating the need for us to invest on our own manufacturing facilities, equipment and personnel while also enabling us to focus our expertise and resources on the design and development of our product candidates.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 Plan</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Cell Line License Agreement with WuXi Biologics (Hong Kong) Limited</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October 2019, we entered into a cell line license agreement with WuXi Biologics (Hong Kong) Limited (WuXi Bio), pursuant to which we received a non-exclusive, worldwide, sublicensable license under certain of WuXi Bio’s intellectual property rights, know-how and biological materials (WuXi Bio Licensed Technology), to make, use, sell, offer for sale and import a product developed through the use of the WuXi Bio Licensed Technology (WuXi Bio Licensed Product). The WuXi Bio Licensed Technology is used to manufacture a component of our lead product, SBT6050.</w:t>
      </w:r>
    </w:p>
    <w:p>
      <w:pPr>
        <w:spacing w:after="0" w:line="202"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In January 2020, we paid a license fee of $100,000 to WuXi Bio. In December 2020, we incurred an additional license fee of $50,000 to WuXi Bio. Additionally, if we do not engage WuXi Bio to manufacture the WuXi Bio Licensed Products for our clinical and commercial supplies, we are required to make milestone payments to WuXi Bio upon the achievement of certain sales milestones. Under such scenarios, upon achieving certain thresholds for the aggregate annual net sales of a WuXi Bio Licensed Product, we would owe WuXi Bio aggregate milestone payments of up to $10.8 million.</w:t>
      </w:r>
    </w:p>
    <w:p>
      <w:pPr>
        <w:spacing w:after="0" w:line="202"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WuXi Bio Agreement will continue indefinitely unless terminated in accordance with the agreement. The WuXi Bio Agreement may be terminated (i) by us upon six months’ written notice provided we pay all amounts due to WuXi Bio through the effective date of termination, (ii) by either party for the other party’s material breach that remains uncured for 30 days after written notice, and (iii) by WuXi Bio after 45 days’ written notice if we fail to make a payment within 30 days after receiving notice of such failure.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Master Services Agreements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Master Services Agreement with CE3, Inc.</w:t>
      </w:r>
    </w:p>
    <w:p>
      <w:pPr>
        <w:spacing w:after="0" w:line="126"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In January 2020, we entered into a master services agreement (MSA) with CE3, Inc. (CE3) pursuant to which CE3 will perform certain clinical research and administrative services in connection with our lead product SBT6050, including trial management, site selection, site management, project management, data collection and analysis, and other related services, in support of certain clinical research and trials. In addition to the fees for these services, we are obligated to pay the fees and expenses incurred in connection with the services provided by CE3.</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CE3 MSA will expire in January 2025, unless earlier terminated in accordance with the MSA. The MSA can be terminated (i) by either party at any time upon 30 days’ written notice provided any ongoing work order will continue until the termination date set forth in such work order; (ii) by either party for the other party’s material breach that remains uncured for 60 days after written notice; (iii) by either party if the other party becomes insolvent or bankrupt; or (iv) by us if either party is unable to obtain required ongoing review and/or approvals from regulatory agencies in connection with services to be performed under the MSA.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Master Laboratory Services Agreement with Q Squared Solutions LLC</w:t>
      </w:r>
    </w:p>
    <w:p>
      <w:pPr>
        <w:spacing w:after="0" w:line="12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In May 2020, we entered into a Master Laboratory Services Agreement (MLSA) with Q Squared Solutions LLC (Q Squared) pursuant to which Q Squared will perform certain project planning, laboratory design consultation, laboratory analysis, data management and other laboratory services in connection with our lead product SBT6050. In addition to the fees for these services, we are obligated to pay the fees, expenses and pass-through costs incurred in connection with the services provided by Q Squared.</w:t>
      </w:r>
    </w:p>
    <w:p>
      <w:pPr>
        <w:spacing w:after="0" w:line="205"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The Q Squared MLSA will continue until May 2025, at which time it will automatically renew annually unless either party elects not to renew by providing 30 days’ written notice prior to the date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an automatic renewal. Additionally, the MLSA can be terminated (i) by either party at any time upon 90 days’ written notice; (ii) by either party for the other party’s material breach that remains uncured for 30 days after written notice; (iii) by either party if the other party becomes insolvent or files for bankruptcy; or (iv) by Q Squared if its continued performance of services would constitute a potential or actual violation of regulatory or scientific standards of integrity.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strive to protect and enhance the proprietary technology, inventions, and improvements that are commercially important to our business, including seeking, maintaining and defending patent rights, whether developed internally or licensed from third parties. We own the issued patents and patent applications relating to our lead product candidate SBT6050. Our policy includes seeking to protect our proprietary position by, among other methods, filing patent applications, in the United States and in jurisdictions outside of the United States, directed to our proprietary technology, inventions, improvements, and product candidates that are important to the development and implementation of our business. We also rely on trade secrets and know-how relating to our proprietary technology and product candidates, continued innovation, and in-licensing opportunities to develop, strengthen and maintain our proprietary position in the field of immunotherapy. We also plan to rely on data exclusivity, market exclusivity, and patent term extensions when available. Our commercial success will depend in part on our ability to obtain and maintain patent and other proprietary protection for our technology, inventions, and improvements; to preserve the confidentiality of our trade secrets and know-how; to obtain and maintain licenses to use intellectual property owned by third parties; to defend and enforce our proprietary rights, including any patents that we may own in the future; and to operate without infringing on the valid and enforceable patents and other proprietary rights of third parties.</w:t>
      </w:r>
    </w:p>
    <w:p>
      <w:pPr>
        <w:spacing w:after="0" w:line="204"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As of February 28, 2021, our licensed and owned patent portfolio included four owned U.S. patents, 23 owned U.S. provisional and non-provisional patent applications, 13 owned patent applications filed under the Patent Cooperation Treaty (PCT), 50 owned foreign patent applications filed in 16 different countries or regions, including in Australia, Brazil, Canada, China, European region, Hong Kong, Israel, India, Japan, South Korea, Mexico, New Zealand, Russia, Singapore, Taiwan, and South Africa, directed to TLR8 agonists and conjugates, including SBT6050, TGFßR1 antagonists and conjugates, TGFßR2 antagonists and conjugates, TLR7 agonists and conjugates, and various applications of our proprietary antibody conjugates and antibodies, including antibodies specific for Nectin4 and ASGR, as well as certain of our other proprietary antibodies, compounds, conjugates, formulations, technology, inventions, improvements, and other product candidates. Any patents that issue from these pending patent applications will expire between March 2038 and October 2041, absent any patent term adjustments or extensions. We also possess and/or in-license substantial know-how and trade secrets relating to the development and commercialization of our product candidates, including related manufacturing processes and technology.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Specifically, our patent portfolio includes the following families and/or groups of families:</w:t>
      </w:r>
    </w:p>
    <w:p>
      <w:pPr>
        <w:spacing w:after="0" w:line="95" w:lineRule="exact"/>
        <w:rPr>
          <w:sz w:val="20"/>
          <w:szCs w:val="20"/>
          <w:color w:val="auto"/>
        </w:rPr>
      </w:pPr>
    </w:p>
    <w:p>
      <w:pPr>
        <w:ind w:left="880" w:right="2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TLR8 Agonists and Conjugates. </w:t>
      </w:r>
      <w:r>
        <w:rPr>
          <w:rFonts w:ascii="Arial" w:cs="Arial" w:eastAsia="Arial" w:hAnsi="Arial"/>
          <w:sz w:val="18"/>
          <w:szCs w:val="18"/>
          <w:color w:val="auto"/>
        </w:rPr>
        <w:t>We have four issued U.S. patents with composition of matter and method of treatment claims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 our lead product candidate, SBT6050, and composition of matter, method of treatment, and method of making claims to TLR8 agonist payloads, linker-payloads and conjugates, including conjugates to HER2-directed antibodies. The issued U.S. patents expire in March 2038, absent any patent term extensions. As of December 31, 2020, we have eight pending U.S. patent applications, six pending PCT applications, and 24 pending foreign patent applications filed in 16 different countries or regions, including in Australia, Brazil, Canada, China, European region, Hong Kong, Israel, India, Japan, South Korea, Mexico, New Zealand, Russia, Singapore, Taiwan and South Africa,</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20"/>
        <w:spacing w:after="0" w:line="238" w:lineRule="auto"/>
        <w:rPr>
          <w:sz w:val="20"/>
          <w:szCs w:val="20"/>
          <w:color w:val="auto"/>
        </w:rPr>
      </w:pPr>
      <w:r>
        <w:rPr>
          <w:rFonts w:ascii="Arial" w:cs="Arial" w:eastAsia="Arial" w:hAnsi="Arial"/>
          <w:sz w:val="18"/>
          <w:szCs w:val="18"/>
          <w:color w:val="auto"/>
        </w:rPr>
        <w:t>with composition of matter claims directed to SBT6050, formulations of SBT6050, and other TLR8 agonists and conjugates, including capped and substituted TLR8 agonist variants and conjugates, as well as claims to methods of administering SBT6050, and other TLR8 agonists and conjugates, and to methods for treating oncology indications. Any patents that issue from these pending patent applications will expire between March 2038 and July 2041, absent any patent term adjustments or extensions. We own all the issued U.S. patents and all the pending patent applications in these patent families.</w:t>
      </w:r>
    </w:p>
    <w:p>
      <w:pPr>
        <w:spacing w:after="0" w:line="20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With respect to our product candidates and processes, we intend to develop and commercialize in the normal course of business, and we intend to pursue patent protection directed to, when possible, compositions, methods of use, methods of making, dosing, and formulations. We may also pursue patent protection with respect to manufacturing, therapeutic development processes and technologies, and therapeutic delivery technologies.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claims, the availability of regulatory-related extensions, the availability of legal remedies in a particular country, and the validity and enforceability of the patent.</w:t>
      </w:r>
    </w:p>
    <w:p>
      <w:pPr>
        <w:spacing w:after="0" w:line="20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 field of immunotherapy has emerged in the United States. The relevant patent laws and their interpretation outside of the United States is also uncertain. Changes in either the patent laws or their interpretation in the United States and other countries may diminish our ability to protect our technology or product candidates and enforce the patent rights that we license,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the issued patents that we license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Furthermore, our competitors may independently develop similar technologies that are outside the scope of the rights granted under any issued patents that we own or exclusively in-license.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6"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labeling, packaging, storage, record-keeping, promotion, advertising, distribution, post-approval monitoring and reporting, marketing and export and import of drug and biological products, such as our investigational medicines and any future investigational medicines.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Approval in the United States</w:t>
      </w:r>
    </w:p>
    <w:p>
      <w:pPr>
        <w:spacing w:after="0" w:line="12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In the United States, pharmaceutical products are subject to extensive regulation by the FDA. The FDCA, and other federal and state statutes and regulations, govern, among other things, the research, development, testing, manufacture, storage, recordkeeping, approval, labeling, promotion and marketing, distribution, post- approval monitoring and reporting, sampling, and import and export of pharmaceutical products. Biological products used for the prevention, treatment or cure of a disease or condition of a human being are subject to regulation under the FDCA, except the section of the FDCA that governs the approval of new drug applications, NDAs. Biological products, such as our ImmunoTAC product candidates, are approved for marketing under provisions of the Public Health Service Act (PHSA), via a BLA. However, the application process and requirements for approval of BLAs are very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205"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Our investigational medicines and any future investigational medicines must be approved by the FDA pursuant to a BLA before they may be legally marketed in the United States. The process generally involves the following:</w:t>
      </w:r>
    </w:p>
    <w:p>
      <w:pPr>
        <w:spacing w:after="0" w:line="102" w:lineRule="exact"/>
        <w:rPr>
          <w:sz w:val="20"/>
          <w:szCs w:val="20"/>
          <w:color w:val="auto"/>
        </w:rPr>
      </w:pPr>
    </w:p>
    <w:p>
      <w:pPr>
        <w:ind w:left="880" w:right="300" w:hanging="224"/>
        <w:spacing w:after="0" w:line="24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extensive preclinical laboratory and animal studies in accordance with applicable regulations, including studies conducted in accordance with GLP requirements;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by an IRB or independent ethics committee at each clinical trial site before each clinical trial may be commenced;</w:t>
      </w:r>
    </w:p>
    <w:p>
      <w:pPr>
        <w:spacing w:after="0" w:line="117" w:lineRule="exact"/>
        <w:rPr>
          <w:rFonts w:ascii="Arial" w:cs="Arial" w:eastAsia="Arial" w:hAnsi="Arial"/>
          <w:sz w:val="18"/>
          <w:szCs w:val="18"/>
          <w:color w:val="auto"/>
        </w:rPr>
      </w:pPr>
    </w:p>
    <w:p>
      <w:pPr>
        <w:ind w:left="880" w:right="2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GCP requirements and other clinical trial-related regulations to establish the safety and efficacy of the investigational product for each proposed indication;</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 BLA;</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60"/>
          </w:cols>
          <w:pgMar w:left="320" w:top="459"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of any user fees for FDA review of the BLA;</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accept the filing for review;</w:t>
      </w:r>
    </w:p>
    <w:p>
      <w:pPr>
        <w:spacing w:after="0" w:line="117" w:lineRule="exact"/>
        <w:rPr>
          <w:rFonts w:ascii="Arial" w:cs="Arial" w:eastAsia="Arial" w:hAnsi="Arial"/>
          <w:sz w:val="18"/>
          <w:szCs w:val="18"/>
          <w:color w:val="auto"/>
        </w:rPr>
      </w:pPr>
    </w:p>
    <w:p>
      <w:pPr>
        <w:ind w:left="880" w:right="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biologic, or components thereof, will be produced to assess compliance with cGMP requirements to assure that the facilities, methods and controls are adequate to preserve the biologic’s identity, strength, quality and purity;</w:t>
      </w:r>
    </w:p>
    <w:p>
      <w:pPr>
        <w:spacing w:after="0" w:line="108" w:lineRule="exact"/>
        <w:rPr>
          <w:rFonts w:ascii="Arial" w:cs="Arial" w:eastAsia="Arial" w:hAnsi="Arial"/>
          <w:sz w:val="18"/>
          <w:szCs w:val="18"/>
          <w:color w:val="auto"/>
        </w:rPr>
      </w:pPr>
    </w:p>
    <w:p>
      <w:pPr>
        <w:ind w:left="880" w:right="520" w:hanging="224"/>
        <w:spacing w:after="0" w:line="24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any potential FDA audits of the clinical trial sites that generated the data in support of the BLA to assure compliance with GCPs and integrity of the clinical data;</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review and approval of the BLA, including consideration of the views of any FDA advisory committee; and</w:t>
      </w:r>
    </w:p>
    <w:p>
      <w:pPr>
        <w:spacing w:after="0" w:line="117"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REMS, where applicable, and post- approval studies required by the FDA as a condition of approval.</w:t>
      </w:r>
    </w:p>
    <w:p>
      <w:pPr>
        <w:spacing w:after="0" w:line="197"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The preclinical and clinical testing and approval process requires substantial time, effort and financial resources, and we cannot be certain that any approvals for our product candidates will be granted on a timely basis, or at all.</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2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 xml:space="preserve">Before testing any biological product candidates in humans, the product candidate must undergo rigorous preclinical testing. Preclinical studies include laboratory evaluation of product candidates and formulations,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long-term preclinical testing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Trials</w:t>
      </w:r>
    </w:p>
    <w:p>
      <w:pPr>
        <w:spacing w:after="0" w:line="12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sponsor’s control. Clinical trials must be conducted: (i) in compliance with federal regulations; (ii) in compliance with GCPs,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patient population, phase of investigation, clinical trial sites and investigators and other aspects of the clinical trial is then made public as part of the registration. Disclosure of the results of these clinical trials can be delayed in certain circumstances for up to two years after the date of completion of the trial.</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 designed and well-conducted foreign clinical trial not conducted under an IND if the clinical trial was conducted in accordance with GCP requirements, and the FDA is able to validate the data through an onsite inspection if deemed necessary.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Clinical trials are generally conducted in three sequential phases, known as Phase 1, Phase 2 and Phase 3:</w:t>
      </w:r>
    </w:p>
    <w:p>
      <w:pPr>
        <w:spacing w:after="0" w:line="117" w:lineRule="exact"/>
        <w:rPr>
          <w:sz w:val="20"/>
          <w:szCs w:val="20"/>
          <w:color w:val="auto"/>
        </w:rPr>
      </w:pPr>
    </w:p>
    <w:p>
      <w:pPr>
        <w:ind w:left="880" w:right="200" w:hanging="224"/>
        <w:spacing w:after="0" w:line="23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pharmacokinetics, pharmacologic action, side effect tolerability, safety of the product candidate, and, if possible, early evidence of effectiveness.</w:t>
      </w:r>
    </w:p>
    <w:p>
      <w:pPr>
        <w:spacing w:after="0" w:line="110" w:lineRule="exact"/>
        <w:rPr>
          <w:rFonts w:ascii="Arial" w:cs="Arial" w:eastAsia="Arial" w:hAnsi="Arial"/>
          <w:sz w:val="18"/>
          <w:szCs w:val="18"/>
          <w:color w:val="auto"/>
        </w:rPr>
      </w:pPr>
    </w:p>
    <w:p>
      <w:pPr>
        <w:ind w:left="880" w:right="240" w:hanging="224"/>
        <w:spacing w:after="0" w:line="23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2 clinical trials generally involve studies in disease-affected patients to evaluate proof of concept and/or determine the dosing regimen(s) for subsequent investigations. At the same time, safety and further pharmacokinetic and pharmacodynamic information is collected, possible adverse effects and safety risks are identified, and a preliminary evaluation of efficacy is conducted.</w:t>
      </w:r>
    </w:p>
    <w:p>
      <w:pPr>
        <w:spacing w:after="0" w:line="110" w:lineRule="exact"/>
        <w:rPr>
          <w:rFonts w:ascii="Arial" w:cs="Arial" w:eastAsia="Arial" w:hAnsi="Arial"/>
          <w:sz w:val="18"/>
          <w:szCs w:val="18"/>
          <w:color w:val="auto"/>
        </w:rPr>
      </w:pPr>
    </w:p>
    <w:p>
      <w:pPr>
        <w:ind w:left="880" w:right="180" w:hanging="224"/>
        <w:spacing w:after="0" w:line="23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 In most cases, the FDA requires two adequate and well-controlled Phase 3 clinical trials to demonstrate the efficacy of the biologic.</w:t>
      </w:r>
    </w:p>
    <w:p>
      <w:pPr>
        <w:spacing w:after="0" w:line="2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These Phases may overlap or be combined. For example, a Phase 1/2 clinical trial may contain both a dose-escalation stage and a dose 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Phase 3 or Phase 2 trial with other confirmatory evidence may be sufficient in rare instances to provide substantial evidence of effectiveness (generally subject to the requirement of additional post-approval studies).</w:t>
      </w:r>
    </w:p>
    <w:p>
      <w:pPr>
        <w:spacing w:after="0" w:line="205" w:lineRule="exact"/>
        <w:rPr>
          <w:sz w:val="20"/>
          <w:szCs w:val="20"/>
          <w:color w:val="auto"/>
        </w:rPr>
      </w:pPr>
    </w:p>
    <w:p>
      <w:pPr>
        <w:jc w:val="both"/>
        <w:ind w:left="120" w:right="100" w:firstLine="551"/>
        <w:spacing w:after="0"/>
        <w:rPr>
          <w:sz w:val="20"/>
          <w:szCs w:val="20"/>
          <w:color w:val="auto"/>
        </w:rPr>
      </w:pPr>
      <w:r>
        <w:rPr>
          <w:rFonts w:ascii="Arial" w:cs="Arial" w:eastAsia="Arial" w:hAnsi="Arial"/>
          <w:sz w:val="18"/>
          <w:szCs w:val="18"/>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FDA Review Process</w:t>
      </w:r>
    </w:p>
    <w:p>
      <w:pPr>
        <w:spacing w:after="0" w:line="122"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Following completion of the clinical trials, the results of preclinical studies and clinical trials are submitted to the FDA as part of a BLA, along with proposed labeling, chemistry and manufacturing information to ensure product quality and other relevant data. To support marketing approval, the data submitted must be sufficient in quality and quantity to establish the safety and efficacy of the investigational product to the satisfaction of the FDA. FDA approval of a BLA must be obtained before a biologic or drug may be marketed in the United States. The cost of preparing and submitting a BLA is substantial. Under the PDUFA, each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The applicant under an approved BLA is also subject to an annual program fee.</w:t>
      </w:r>
    </w:p>
    <w:p>
      <w:pPr>
        <w:spacing w:after="0" w:line="207"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FDA reviews all submitted BLAs before it accepts them for filing and may request additional information. The FDA must make a decision on accepting a BLA for filing within 60 days of receipt, and such decision could include a refusal to file by the FDA. Once the submission is accepted for filing, the FDA begins an in-depth review of the BLA. Under the goals and policies agreed to by the FDA under PDUFA, the FDA has 10 months, from the filing date, in which to complete its initial review of an original BLA for a new molecular entity and respond to the applicant, and six months from the filing date of an original BLA designated for priority review. The review process for both standard and priority review may be extended by the FDA for three additional months to consider certain late-submitted information, or information intended to clarify information already provided in the submission. The FDA does not always meet its PDUFA goal dates for standard and priority BLAs, and the review process can be extended by FDA requests for additional information or clarification.</w:t>
      </w:r>
    </w:p>
    <w:p>
      <w:pPr>
        <w:spacing w:after="0" w:line="208"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Before approving a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w:t>
      </w:r>
    </w:p>
    <w:p>
      <w:pPr>
        <w:spacing w:after="0" w:line="205" w:lineRule="exact"/>
        <w:rPr>
          <w:sz w:val="20"/>
          <w:szCs w:val="20"/>
          <w:color w:val="auto"/>
        </w:rPr>
      </w:pPr>
    </w:p>
    <w:p>
      <w:pPr>
        <w:ind w:left="120" w:right="800" w:firstLine="551"/>
        <w:spacing w:after="0" w:line="246" w:lineRule="auto"/>
        <w:rPr>
          <w:sz w:val="20"/>
          <w:szCs w:val="20"/>
          <w:color w:val="auto"/>
        </w:rPr>
      </w:pPr>
      <w:r>
        <w:rPr>
          <w:rFonts w:ascii="Arial" w:cs="Arial" w:eastAsia="Arial" w:hAnsi="Arial"/>
          <w:sz w:val="18"/>
          <w:szCs w:val="18"/>
          <w:color w:val="auto"/>
        </w:rPr>
        <w:t>The FDA also may audit data from clinical trials to ensure compliance with GCP requirements and the integrity of the data supporting safety and efficacy. Additionally, the FDA may refer applications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generally follows such recommendations when making decisions on approval. The FDA likely will reanalyze the clinical trial data, which could result in extensive discussions between the FDA and the applicant during the review process.</w:t>
      </w:r>
    </w:p>
    <w:p>
      <w:pPr>
        <w:spacing w:after="0" w:line="202"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After the FDA evaluates a BLA, it will issue either an approval letter or a Complete Response Letter. An approval letter authorizes commercial marketing of the biologic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BLA and may require additional clinical data, additional pivotal clinical trial(s) and/or other significant and time-consuming requirements related to clinical trials, preclinical studies or manufacturing in order for FDA to reconsider the application. If a Complete Response Letter is issued, the applicant may either resubmit the BLA, addressing all of the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BLA does not satisfy the criteria for approval.</w:t>
      </w:r>
    </w:p>
    <w:p>
      <w:pPr>
        <w:spacing w:after="0" w:line="20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a condition of BLA approval, the FDA may require a REMS to help ensure that the benefits of the biologic outweigh the potential risks to patients.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w:t>
      </w:r>
    </w:p>
    <w:p>
      <w:pPr>
        <w:spacing w:after="0" w:line="12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205"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Orphan drug designation must be requested before submitting a BLA. After the FDA grants orphan drug designation, the identity of the therapeutic agent and its potential orphan use are disclosed publicly by the FDA. Orphan drug designation on its own does not convey any advantage in or shorten the duration of the regulatory review and approval process.</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product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indication or the same product for a different indication. In the latter case, because healthcare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professionals are free to prescribe products for off-label uses, the competitor’s product could be used for the orphan indication despite another product’s orphan exclusivity.</w:t>
      </w:r>
    </w:p>
    <w:p>
      <w:pPr>
        <w:spacing w:after="0" w:line="197"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FDA’s determination of whether two ADCs are the same product for purposes of orphan drug exclusivity is based on a determination of sameness of the monoclonal antibody element and the functional element of the conjugated molecule. Two ADCs are deemed to be the same product if the complementarity determining region sequences of the antibody and the functional element of the conjugated molecule are the same. A difference in either of those two elements can result in a determination that the molecules are different.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22"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w:t>
      </w:r>
    </w:p>
    <w:p>
      <w:pPr>
        <w:spacing w:after="0" w:line="197"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 new biologic candidate can request the FDA to designate the candidate for a specific indication for fast track status 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Any product submitted to the FDA for marketing, including under a fast track program, may be eligible for other types of FDA programs intended to expedite development and review, such as priority review and accelerated approval.</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207"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spacing w:after="0" w:line="203" w:lineRule="exact"/>
        <w:rPr>
          <w:sz w:val="20"/>
          <w:szCs w:val="20"/>
          <w:color w:val="auto"/>
        </w:rPr>
      </w:pPr>
    </w:p>
    <w:p>
      <w:pPr>
        <w:ind w:left="120" w:right="760" w:firstLine="551"/>
        <w:spacing w:after="0" w:line="246" w:lineRule="auto"/>
        <w:rPr>
          <w:sz w:val="20"/>
          <w:szCs w:val="20"/>
          <w:color w:val="auto"/>
        </w:rPr>
      </w:pPr>
      <w:r>
        <w:rPr>
          <w:rFonts w:ascii="Arial" w:cs="Arial" w:eastAsia="Arial" w:hAnsi="Arial"/>
          <w:sz w:val="18"/>
          <w:szCs w:val="18"/>
          <w:color w:val="auto"/>
        </w:rPr>
        <w:t>Accelerated approval may be granted for products that are intended to treat a serious or life-threatening condition and that generally provide a meaningful therapeutic advantage to patients over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213"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Controls for Biologics</w:t>
      </w:r>
    </w:p>
    <w:p>
      <w:pPr>
        <w:spacing w:after="0" w:line="12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Information</w:t>
      </w:r>
    </w:p>
    <w:p>
      <w:pPr>
        <w:spacing w:after="0" w:line="122" w:lineRule="exact"/>
        <w:rPr>
          <w:sz w:val="20"/>
          <w:szCs w:val="20"/>
          <w:color w:val="auto"/>
        </w:rPr>
      </w:pPr>
    </w:p>
    <w:p>
      <w:pPr>
        <w:ind w:left="120" w:right="240" w:firstLine="551"/>
        <w:spacing w:after="0" w:line="237" w:lineRule="auto"/>
        <w:rPr>
          <w:sz w:val="20"/>
          <w:szCs w:val="20"/>
          <w:color w:val="auto"/>
        </w:rPr>
      </w:pPr>
      <w:r>
        <w:rPr>
          <w:rFonts w:ascii="Arial" w:cs="Arial" w:eastAsia="Arial" w:hAnsi="Arial"/>
          <w:sz w:val="18"/>
          <w:szCs w:val="18"/>
          <w:color w:val="auto"/>
        </w:rPr>
        <w:t>Under the Pediatric Research Equity Act (PREA), BLAs or supplements to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PREA generally does not apply to any biological product for an indication for which orphan designation has been granted but does apply to BLAs for orphan-designated biologics if the biologic is a molecularly targeted cancer product intended for the treatment of an adult cancer and is directed at a molecular target that the FDA has determined is substantially relevant to the growth or progression of a pediatric cancer.</w:t>
      </w:r>
    </w:p>
    <w:p>
      <w:pPr>
        <w:spacing w:after="0" w:line="203"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Best Pharmaceuticals for Children Act (the BPCA) provides a six-month extension of any exclusivity—patent or non-patent—for a biologic if certain conditions are met. Conditions for exclusivity include the FDA’s determination that information relating to the use of a new biologic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122" w:lineRule="exact"/>
        <w:rPr>
          <w:sz w:val="20"/>
          <w:szCs w:val="20"/>
          <w:color w:val="auto"/>
        </w:rPr>
      </w:pPr>
    </w:p>
    <w:p>
      <w:pPr>
        <w:ind w:left="120" w:right="220" w:firstLine="551"/>
        <w:spacing w:after="0" w:line="252" w:lineRule="auto"/>
        <w:rPr>
          <w:sz w:val="20"/>
          <w:szCs w:val="20"/>
          <w:color w:val="auto"/>
        </w:rPr>
      </w:pPr>
      <w:r>
        <w:rPr>
          <w:rFonts w:ascii="Arial" w:cs="Arial" w:eastAsia="Arial" w:hAnsi="Arial"/>
          <w:sz w:val="17"/>
          <w:szCs w:val="17"/>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 manner consistent with the provisions of the approved labeling.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w:t>
      </w:r>
    </w:p>
    <w:p>
      <w:pPr>
        <w:spacing w:after="0" w:line="19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Adverse event reporting and submission of periodic safety summary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a biologic product’s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required regulatory standards, if it encounters problems following initial marketing, or if previously unrecognized problems are subsequently discovered.</w:t>
      </w:r>
    </w:p>
    <w:p>
      <w:pPr>
        <w:spacing w:after="0" w:line="206"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61" w:lineRule="auto"/>
        <w:rPr>
          <w:sz w:val="20"/>
          <w:szCs w:val="20"/>
          <w:color w:val="auto"/>
        </w:rPr>
      </w:pPr>
      <w:r>
        <w:rPr>
          <w:rFonts w:ascii="Arial" w:cs="Arial" w:eastAsia="Arial" w:hAnsi="Arial"/>
          <w:sz w:val="17"/>
          <w:szCs w:val="17"/>
          <w:color w:val="auto"/>
        </w:rPr>
        <w:t>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91" w:lineRule="exact"/>
        <w:rPr>
          <w:sz w:val="20"/>
          <w:szCs w:val="20"/>
          <w:color w:val="auto"/>
        </w:rPr>
      </w:pPr>
    </w:p>
    <w:p>
      <w:pPr>
        <w:ind w:left="880" w:right="280" w:hanging="224"/>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complete withdrawal of the product from the market or product recalls;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or other enforcement-related letters or holds on post-approval clinical studies;</w:t>
      </w:r>
    </w:p>
    <w:p>
      <w:pPr>
        <w:spacing w:after="0" w:line="117"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approve pending BLAs or supplements to approved BLAs, or suspension or revocation of product license approvals;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Patent Term Restoration and Marketing Exclusivity</w:t>
      </w:r>
    </w:p>
    <w:p>
      <w:pPr>
        <w:spacing w:after="0" w:line="122"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Depending upon the timing, duration and specifics of FDA approval of our product candidates, some of our U.S. patents may be eligible for limited patent term extension under the Drug Price Competition and Patent Term Restoration Act, informally known as the Hatch-Waxman Act. The Hatch Waxman Act permits a patent term extension of up to five years as compensation for patent term lost during the FDA regulatory review process. Patent term extension (PTE), however, cannot extend the remaining term of a patent beyond a total of 14 years from the product’s approval date. The PTE period is generally one half the time between the effective date of an IND and the submission date of a BLA, plus the time between the submission date of a BLA and the approval of that application, except that the review period is reduced by any time during which the applicant failed to exercise due diligence. Only one patent applicable to an approved drug is eligible for such an extension, only those claims covering the approved drug, a method for using it, or a method for manufacturing it may be extended and the application for the extension must be submitted prior to the expiration of the patent. The USPTO, in consultation with the FDA, reviews and approves the application for any PTE or restoration. Similar provisions are available in Europe and other foreign jurisdictions to extend the term of a patent that covers an approved drug. In the future, we or our licensors may apply for PTE for our owned or licensed patents to add patent life beyond their current expiration date, depending on the expected length of the clinical trials and other factors involved in the filing of the relevant BLA. However, an extension might not be granted because of, for example, our or our licensors’ failure to exercise due diligence during the testing phase or regulatory review process, failure to apply within applicable deadlines, failure to apply prior to expiration of relevant patents or any other failure to satisfy applicable requirements. Moreover, the applicable time period or the scope of patent protection afforded could be less than requested. There is no guarantee that the applicable authorities, including the FDA in the United States, will agree with our assessment of whether any extensions should be granted, and if granted, the length of such extensions.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Biosimilars and Exclusivity</w:t>
      </w:r>
    </w:p>
    <w:p>
      <w:pPr>
        <w:spacing w:after="0" w:line="122" w:lineRule="exact"/>
        <w:rPr>
          <w:sz w:val="20"/>
          <w:szCs w:val="20"/>
          <w:color w:val="auto"/>
        </w:rPr>
      </w:pPr>
    </w:p>
    <w:p>
      <w:pPr>
        <w:ind w:left="120" w:right="260" w:firstLine="551"/>
        <w:spacing w:after="0" w:line="237" w:lineRule="auto"/>
        <w:rPr>
          <w:sz w:val="20"/>
          <w:szCs w:val="20"/>
          <w:color w:val="auto"/>
        </w:rPr>
      </w:pPr>
      <w:r>
        <w:rPr>
          <w:rFonts w:ascii="Arial" w:cs="Arial" w:eastAsia="Arial" w:hAnsi="Arial"/>
          <w:sz w:val="18"/>
          <w:szCs w:val="18"/>
          <w:color w:val="auto"/>
        </w:rPr>
        <w:t>The Biologics Price Competition and Innovation Act of 2009 (the BPCIA) created an abbreviated approval pathway for biological products shown to be biosimilar to, or interchangeable with, an FDA-licensed reference biological product. Biosimilarity, which requires that the biological product be highly similar to the reference product notwithstanding minor differences in clinically inactive components and that there be no clinically meaningful differences between the biological product and the reference product in terms of safety, purity and potency, can be shown through analytical studies, animal studies and a clinical trial or trials. Interchangeability requires that a biological product be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spacing w:after="0" w:line="20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BPCIA is complex and only recently implemented by the FDA. Recent government proposals have sought to reduce the twelve-year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Approval in the European Union</w:t>
      </w:r>
    </w:p>
    <w:p>
      <w:pPr>
        <w:spacing w:after="0" w:line="122"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EMA is a decentralized scientific agency of the European Union. It coordinates the evaluation and monitoring of centrally authorized medicinal products. It is responsible for the scientific evaluation of applications for EU marketing authorizations, as well as the development of technical guidance and the provision of scientific advice to sponsors. The EMA decentralizes its scientific assessment of medicines by working through a network of about 4,500 experts throughout the European Union, nominated by the member states. The EMA draws on resources of over 40 National Competent Authorities of European Union member states.</w:t>
      </w:r>
    </w:p>
    <w:p>
      <w:pPr>
        <w:spacing w:after="0" w:line="202"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The process regarding approval of medicinal products in the European Union follows roughly the same lines as in the United States and likewise generally involves satisfactorily completing each of the following:</w:t>
      </w:r>
    </w:p>
    <w:p>
      <w:pPr>
        <w:spacing w:after="0" w:line="102" w:lineRule="exact"/>
        <w:rPr>
          <w:sz w:val="20"/>
          <w:szCs w:val="20"/>
          <w:color w:val="auto"/>
        </w:rPr>
      </w:pPr>
    </w:p>
    <w:p>
      <w:pPr>
        <w:ind w:left="880" w:right="420" w:hanging="224"/>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applicable EU Good Laboratory Practice regulations;</w:t>
      </w:r>
    </w:p>
    <w:p>
      <w:pPr>
        <w:spacing w:after="0" w:line="102" w:lineRule="exact"/>
        <w:rPr>
          <w:rFonts w:ascii="Arial" w:cs="Arial" w:eastAsia="Arial" w:hAnsi="Arial"/>
          <w:sz w:val="18"/>
          <w:szCs w:val="18"/>
          <w:color w:val="auto"/>
        </w:rPr>
      </w:pPr>
    </w:p>
    <w:p>
      <w:pPr>
        <w:ind w:left="880" w:right="720" w:hanging="224"/>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relevant national authorities of a clinical trial application (CTA) for each trial in humans, which must be approved before the trial may begin in each country where patient enrollment is planned;</w:t>
      </w:r>
    </w:p>
    <w:p>
      <w:pPr>
        <w:spacing w:after="0" w:line="102"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to establish the safety and efficacy of the product for each proposed indication;</w:t>
      </w:r>
    </w:p>
    <w:p>
      <w:pPr>
        <w:spacing w:after="0" w:line="102"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relevant competent authorities of a MAA, which includes the data supporting safety and efficacy as well as detailed information on the manufacture and composition of the product in clinical development and proposed labelling;</w:t>
      </w:r>
    </w:p>
    <w:p>
      <w:pPr>
        <w:spacing w:after="0" w:line="102"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inspection by the relevant national authorities of the manufacturing facility or facilities, including those of third parties, at which the product is produced to assess compliance with strictly enforced cGMP;</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audits of the non-clinical and clinical trial sites that generated the data in support of the MAA; and</w:t>
      </w:r>
    </w:p>
    <w:p>
      <w:pPr>
        <w:spacing w:after="0" w:line="117"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approval by the relevant competent authority of the MAA before any commercial marketing, sale or shipment of the product.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2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Preclinical tests include laboratory evaluations of product chemistry, formulation and stability, as well as studies to evaluate toxicity in animal studies, in order to assess the quality and potential safety and efficacy of the product. The conduct of the preclinical tests and formulation of the compounds for testing must comply with the relevant international, EU and national legislation, regulations and guidelines. The results of the preclinical tests, together with relevant manufacturing information and analytical data, are submitted as part of the CTA.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Trials</w:t>
      </w:r>
    </w:p>
    <w:p>
      <w:pPr>
        <w:spacing w:after="0" w:line="12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Pursuant to the Clinical Trials Directive 2001/20/EC, as amended (the Clinical Trials Directive), a system for the approval of clinical trials in the European Union has been implemented through national legislation of the member states. Under this system, approval must be obtained from the competent national authority of each European Union member state in which a clinical trial is planned to be conducted. To this end, a CTA is submitted, which must be supported by an investigational medicinal product dossier and further supporting information prescribed by the Clinical Trials Directive and other applicable guidance documents including but not being limited to the clinical trial protocol. Furthermore, a clinical trial may only be started after a competent ethics committee has issued a favorable opinion on the clinical trial application in that country.</w:t>
      </w:r>
    </w:p>
    <w:p>
      <w:pPr>
        <w:spacing w:after="0" w:line="203" w:lineRule="exact"/>
        <w:rPr>
          <w:sz w:val="20"/>
          <w:szCs w:val="20"/>
          <w:color w:val="auto"/>
        </w:rPr>
      </w:pPr>
    </w:p>
    <w:p>
      <w:pPr>
        <w:jc w:val="both"/>
        <w:ind w:left="120" w:right="20" w:firstLine="551"/>
        <w:spacing w:after="0" w:line="238" w:lineRule="auto"/>
        <w:rPr>
          <w:sz w:val="20"/>
          <w:szCs w:val="20"/>
          <w:color w:val="auto"/>
        </w:rPr>
      </w:pPr>
      <w:r>
        <w:rPr>
          <w:rFonts w:ascii="Arial" w:cs="Arial" w:eastAsia="Arial" w:hAnsi="Arial"/>
          <w:sz w:val="18"/>
          <w:szCs w:val="18"/>
          <w:color w:val="auto"/>
        </w:rPr>
        <w:t>Directive 2001/20/EC will be replaced by Regulation (EU) No. 536/2014, which entered into force on June 16, 2014 and is due to fully apply from late 2021. The Regulation introduces an authorization procedure based on a single submission via a single EU portal, an assessment procedure leading to a single decision, as well as transparency requirements (the proactive publication of clinical trial data in the EU database). Since October 2016, based on its Policy 0070, the EMA has been publishing clinical data submitted by pharmaceutical companies to support their MAA for human medicines under this centralized procedure.</w:t>
      </w:r>
    </w:p>
    <w:p>
      <w:pPr>
        <w:spacing w:after="0" w:line="202"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Manufacturing and import into the EU of investigational medicinal products is subject to the holding of appropriate authorizations and must be carried out in accordance with cGMP.</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Review and Approval</w:t>
      </w:r>
    </w:p>
    <w:p>
      <w:pPr>
        <w:spacing w:after="0" w:line="122"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Authorization to market a product in the European Union member states proceeds under one of four procedures: a centralized authorization procedure, a mutual recognition procedure, a decentralized procedure or a national procedure. Since our products by their virtue of being antibody-based biologics fall under the centralized procedure, only this procedure will be described here.</w:t>
      </w:r>
    </w:p>
    <w:p>
      <w:pPr>
        <w:spacing w:after="0" w:line="203" w:lineRule="exact"/>
        <w:rPr>
          <w:sz w:val="20"/>
          <w:szCs w:val="20"/>
          <w:color w:val="auto"/>
        </w:rPr>
      </w:pPr>
    </w:p>
    <w:p>
      <w:pPr>
        <w:ind w:left="120" w:right="240" w:firstLine="551"/>
        <w:spacing w:after="0" w:line="255" w:lineRule="auto"/>
        <w:rPr>
          <w:sz w:val="20"/>
          <w:szCs w:val="20"/>
          <w:color w:val="auto"/>
        </w:rPr>
      </w:pPr>
      <w:r>
        <w:rPr>
          <w:rFonts w:ascii="Arial" w:cs="Arial" w:eastAsia="Arial" w:hAnsi="Arial"/>
          <w:sz w:val="17"/>
          <w:szCs w:val="17"/>
          <w:color w:val="auto"/>
        </w:rPr>
        <w:t>Certain drugs, including medicinal products developed by means of biotechnological processes, must be approved via the centralized authorization procedure for marketing authorization. A successful application under the centralized authorization procedure results in a marketing authorization from the European Commission, which is automatically valid in all European Union member states. The other European Economic Area member states (namely Norway, Iceland and Liechtenstein) are also obligated to recognize the European Commission decision. The EMA and the European Commission administer the centralized authorization procedure.</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40"/>
          </w:cols>
          <w:pgMar w:left="320" w:top="459" w:right="5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Under the centralized authorization procedure, the Committee for Medicinal Products for Human Use (the CHMP), serves as the scientific committee that renders opinions about the safety, efficacy and quality of human products on behalf of the EMA. The CHMP is composed of experts nominated by each member state’s national drug authority, with one of them appointed to act as Rapporteur for the co-ordination of the evaluation with the possible assistance of a further member of the CHMP acting as a Co-Rapporteur. After approval, the Rapporteur(s) continue to monitor the product throughout its life cycle. The CHMP is required to issue an opinion within 210 days of receipt of a valid application, though the clock is stopped if it is necessary to ask the applicant for clarification or further supporting data. The process is complex and involves extensive consultation with the regulatory authorities of member states and a number of experts. Once the procedure is completed, a European Public Assessment Report is produced. If the CHMP concludes that the quality, safety and efficacy of the medicinal product is sufficiently proven, it adopts a positive opinion. The CHMP’s opinion is sent to the European Commission, which uses the opinion as the basis for its decision whether or not to grant a marketing authorization. If the opinion is negative, information is given as to the grounds on which this conclusion was reached.</w:t>
      </w:r>
    </w:p>
    <w:p>
      <w:pPr>
        <w:spacing w:after="0" w:line="205"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After a drug has been authorized and launched, it is a condition of maintaining the marketing authorization that all aspects relating to its quality, safety and efficacy must be kept under review. Sanctions may be imposed for failure to adhere to the conditions of the marketing authorization. In extreme cases, the authorization may be revoked, resulting in withdrawal of the product from sale.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Conditional Approval and Accelerated Assessment</w:t>
      </w:r>
    </w:p>
    <w:p>
      <w:pPr>
        <w:spacing w:after="0" w:line="122"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As per Article 14(7) of Regulation (EC) 726/2004, a medicine that would fulfill an unmet medical need may, if its immediate availability is in the interest of public health, be granted a conditional marketing authorization on the basis of less complete clinical data than are normally required, subject to specific obligations being imposed on the authorization holder. These specific obligations are to be reviewed annually by the EMA. The list of these obligations shall be made publicly accessible. Such an authorization shall be valid for 12 months, on a renewable basis.</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When an application is submitted for a marketing authorization in respect of a drug for human use which is of major interest from the point of view of public health and in particular from the viewpoint of therapeutic innovation, the applicant may request an accelerated assessment procedure pursuant to Article 14(9) of Regulation (EC) 726/2004. Under the accelerated assessment procedure, the CHMP is required to issue an opinion within 150 days of receipt of a valid application, subject to clock stops. We believe that some of the disease indications in which our product candidates are currently being or may be developed in the future qualify for this provision, and we will take advantage of this provision as appropriate.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Period of Authorization and Renewals</w:t>
      </w:r>
    </w:p>
    <w:p>
      <w:pPr>
        <w:spacing w:after="0" w:line="122"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A marketing authorization is initially valid for five years and may then be renewed on the basis of a re-evaluation of the risk-benefit balance by the EMA or by the competent authority of the authorizing member state. To this end, the marketing authorization holder shall provide the EMA or the competent authority with a version of the file in respect of quality, safety and efficacy, including all variants introduced since the marketing authorization was granted, at least six months before the marketing authorization ceases to be valid. Once renewed, the marketing authorization shall be valid for an unlimited period, unless the European Commission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shall cease to be valid (the so-called “sunset clause”).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Without prejudice to the law on the protection of industrial and commercial property, marketing authorizations for new medicinal products benefit from an 8+2+1 year period of regulatory protection. This regime consists of a regulatory data protection period of eight years plus a concurrent market exclusivity of 10 years plus an additional market exclusivity of one further year if, during the first eight years of those 10 years, the marketing approval holder obtains an approval for one or more new therapeutic indications which, during the scientific evaluation prior to their approval, are determined to bring a significant clinical benefit in comparison with existing therapies. Under the current rules, a third party may reference the preclinical and clinical data of the reference product beginning eight years after first approval, but the third party may market a generic version of the reference product after only 10 (or 11) years have lapsed.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w:t>
      </w:r>
    </w:p>
    <w:p>
      <w:pPr>
        <w:spacing w:after="0" w:line="12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Regulation (EC) 141/2000 states that a drug shall be designated as an orphan drug if its sponsor can establish (i) that it is intended for the diagnosis, prevention or treatment of a life-threatening or chronically debilitating condition affecting not more than five in 10,000 persons in the European Union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 (ii)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Regulation (EC) 847/2000 sets out criteria for the designation of orphan drugs. An application for designation as an orphan product can be made any time prior to the filing of an application for approval to market the product. Marketing authorization for an orphan drug leads to a 10-year period of market exclusivity, which means that no similar medicinal product can be authorized in the same indication. This period may, however, be reduced to six years if, at the end of the fifth year, it is established that the product no longer meets the criteria for orphan drug designation, for example because the product is sufficiently profitable not to justify continued market exclusivity. In addition, derogation from market exclusivity may be granted on an individual basis in very selected cases, such as consent from the marketing authorization holder, inability to supply sufficient quantities of the product or demonstration of “clinically relevant superiority” by a similar medicinal product. Medicinal products designated as orphan drugs pursuant to Regulation (EC) 141/2000 are eligible for incentives made available by the European Union and by the member states to support research into, and the development and availability of, orphan drugs.</w:t>
      </w:r>
    </w:p>
    <w:p>
      <w:pPr>
        <w:spacing w:after="0" w:line="206"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If the MAA of a medicinal product designated as an orphan drug pursuant to Regulation (EC) 141/2000 includes the results of all studies conducted in compliance with an agreed PIP, and a corresponding statement is subsequently included in the marketing authorization granted, the 10-year period of market exclusivity will be extended to 12 years.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Data Privacy and Security Laws</w:t>
      </w:r>
    </w:p>
    <w:p>
      <w:pPr>
        <w:spacing w:after="0" w:line="12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Numerous state, federal and foreign laws govern the collection, dissemination, use, access to, confidentiality and security of health-related information. In the United States, numerous federal and state laws and regulations, including the federal Health Insurance Portability and Accountability Act of 1996, as amended (HIPAA), as amended by the Health Information Technology for Economic and Clinical Health Act of 2009 (HITECH), state data breach notification laws, state health information privacy laws, and federal and state consumer protection laws and regulations (e.g., Section 5 of the FTC Act), govern the collection, use, disclosure, and protection of health-related and other personal</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information could apply to our operations or the operations of our partners. State laws may be more stringent, broader in scope or offer greater individual rights with respect to protected health information (PHI) than HIPAA, and state laws may differ from each other, which may complicate compliance efforts. Entities that are found to be in violation of HIPAA, as the result of a breach of unsecured PHI, a complaint about privacy practices, an audit by the U.S. Department of Health and Human Services (HHS), or other instances of non-compliance,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0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Even when HIPAA does not apply, according to the FTC, violating consumers’ privacy rights or failing to take appropriate steps to keep consumers’ personal information secure may constitute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Certain states have also adopted comparable privacy and security laws and regulations, some of which may be more stringent than HIPAA. For example, California enacted the CCPA, on June 28, 2018,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Further, the collection, transfer, processing and other use of personal data, including health data of individuals within the EEA and the United Kingdom, is governed by the GDPR, which came into effect in May 2018. The GDPR imposes strict requirements on controllers and processors of personal data of individuals within the EEA and the United Kingdom,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prohibits the transfer of personal data to countries outside the EEA, such as the United States, which are not considered by the European Commission to provide an adequate level of data protection. Switzerland has adopted similar restrictions. Failure to comply with the requirements of the GDPR and the related national data protection laws of the EEA member states and the United Kingdom may result in substantial fines and other administrative penalties. The GDPR and related data protection laws may impose additional responsibility and liability in relation to personal data that we collect and process and we may be required to put in place additional mechanisms ensuring compliance with such rules. This may be onerous and adversely affect our business, financial condition, results of operations and prospects.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w:t>
      </w:r>
    </w:p>
    <w:p>
      <w:pPr>
        <w:spacing w:after="0" w:line="12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Much like the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European Union member states, such as the U.K. Bribery Act 2010. Infringement of these laws could result in substantial fines and imprisonment.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Payments made to physicians and other healthcare professionals in certain European Union member states must be publicly disclosed. Moreover, agreements with physicians and other healthcare professionals often must be the subject of prior notification and approval by the relevant individual’s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26"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In addition to regulations in the United States and Europe, a variety of foreign regulations govern clinical trials, commercial sales and distribution of product candidates. The approval process varies from country to country and the time to approval may be longer or shorter than that required for FDA or European Commission approval.</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 and Regulations and Legislative Reform</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Healthcare and Privacy Laws and Regulations</w:t>
      </w:r>
    </w:p>
    <w:p>
      <w:pPr>
        <w:spacing w:after="0" w:line="122"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obtain marketing approval. Our operations, including any arrangements with healthcare providers, physicians, third-party payors and customers may expose us to broadly applicable fraud and abuse and other healthcare laws that may affect the business or financial arrangements and relationships through which we would market, sell and distribute our products. Our current and future operations are subject to regulation by various federal, state and local authorities in addition to the FDA, including but not limited to CMS, HHS (including the Office of Inspector General, Office for Civil Rights and the Health Resources and Service Administration), the U.S. Department of Justice (DOJ) and individual U.S. Attorney offices within the DOJ, and state and local governments. The healthcare laws that may affect our ability to operate include, but are not limited to:</w:t>
      </w:r>
    </w:p>
    <w:p>
      <w:pPr>
        <w:spacing w:after="0" w:line="113" w:lineRule="exact"/>
        <w:rPr>
          <w:sz w:val="20"/>
          <w:szCs w:val="20"/>
          <w:color w:val="auto"/>
        </w:rPr>
      </w:pPr>
    </w:p>
    <w:p>
      <w:pPr>
        <w:ind w:left="880" w:hanging="224"/>
        <w:spacing w:after="0" w:line="23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A person or entity does not need to have actual knowledge of the federal Anti-Kickback Statute or specific intent to violate it to have committed a violation. The federal Anti-Kickback Statute has also been interpreted to apply to arrangements between pharmaceutical manufacturers on the one hand and prescribers, purchasers and formulary managers on the other hand. There are a number of statutory exceptions and regulatory safe harbors protecting some common activities from prosecution, but the exceptions and safe harbors are drawn narrowly and require strict compliance in order to offer protection.</w:t>
      </w:r>
    </w:p>
    <w:p>
      <w:pPr>
        <w:spacing w:after="0" w:line="111" w:lineRule="exact"/>
        <w:rPr>
          <w:rFonts w:ascii="Arial" w:cs="Arial" w:eastAsia="Arial" w:hAnsi="Arial"/>
          <w:sz w:val="18"/>
          <w:szCs w:val="18"/>
          <w:color w:val="auto"/>
        </w:rPr>
      </w:pPr>
    </w:p>
    <w:p>
      <w:pPr>
        <w:ind w:left="880" w:right="80" w:hanging="224"/>
        <w:spacing w:after="0" w:line="23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civil and criminal false claims laws, such as the FCA,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For example, pharmaceutical companies have been prosecuted under the FCA in connection with</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320" w:top="459" w:right="5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line="253" w:lineRule="auto"/>
        <w:rPr>
          <w:sz w:val="20"/>
          <w:szCs w:val="20"/>
          <w:color w:val="auto"/>
        </w:rPr>
      </w:pPr>
      <w:r>
        <w:rPr>
          <w:rFonts w:ascii="Arial" w:cs="Arial" w:eastAsia="Arial" w:hAnsi="Arial"/>
          <w:sz w:val="17"/>
          <w:szCs w:val="17"/>
          <w:color w:val="auto"/>
        </w:rPr>
        <w:t>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programs for the product. In addition, a claim including items or services resulting from a violation of the federal Anti -Kickback Statute constitutes a false or fraudulent claim for purposes of the FCA.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w:t>
      </w:r>
    </w:p>
    <w:p>
      <w:pPr>
        <w:spacing w:after="0" w:line="97" w:lineRule="exact"/>
        <w:rPr>
          <w:sz w:val="20"/>
          <w:szCs w:val="20"/>
          <w:color w:val="auto"/>
        </w:rPr>
      </w:pPr>
    </w:p>
    <w:p>
      <w:pPr>
        <w:ind w:left="880" w:right="40" w:hanging="224"/>
        <w:spacing w:after="0" w:line="23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HIPAA,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13" w:lineRule="exact"/>
        <w:rPr>
          <w:rFonts w:ascii="Arial" w:cs="Arial" w:eastAsia="Arial" w:hAnsi="Arial"/>
          <w:sz w:val="18"/>
          <w:szCs w:val="18"/>
          <w:color w:val="auto"/>
        </w:rPr>
      </w:pPr>
    </w:p>
    <w:p>
      <w:pPr>
        <w:ind w:left="880" w:right="180" w:hanging="224"/>
        <w:spacing w:after="0" w:line="238"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impose requirements on certain covered healthcare providers, health plans, and healthcare clearinghouses as well as their respective business associates that perform services for them, and their covered subcontractors, that involve the use, or disclosure of, individually identifiable health information, relating to the privacy, security, and transmission of such individually identifiable health information.</w:t>
      </w:r>
    </w:p>
    <w:p>
      <w:pPr>
        <w:spacing w:after="0" w:line="110"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consumers.</w:t>
      </w:r>
    </w:p>
    <w:p>
      <w:pPr>
        <w:spacing w:after="0" w:line="102" w:lineRule="exact"/>
        <w:rPr>
          <w:rFonts w:ascii="Arial" w:cs="Arial" w:eastAsia="Arial" w:hAnsi="Arial"/>
          <w:sz w:val="18"/>
          <w:szCs w:val="18"/>
          <w:color w:val="auto"/>
        </w:rPr>
      </w:pPr>
    </w:p>
    <w:p>
      <w:pPr>
        <w:ind w:left="880" w:right="40" w:hanging="224"/>
        <w:spacing w:after="0" w:line="23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transparency requirements under the Physician Payments Sunshine Act, created under the Patient Protection and Affordable Care Act (the Affordable Care Act), which requires, among other things, certain manufacturers of drugs, devices, biologics and medical supplies reimbursed under Medicare, Medicaid, or the Children’s Health Insurance Program (with certain exceptions) to report annually to CMS information related to payments and other transfers of value provided to physicians (defined to include doctors, dentists, optometrists, podiatrists and chiropractors) and teaching hospitals and physician ownership and investment interests, including such ownership and investment interests held by a physician’s immediate family members. Effective January 1, 2022, these reporting obligations will extend to include transfers of value made during the previous year to certain non-physician providers such as physician assistants and nurse practitioners.</w:t>
      </w:r>
    </w:p>
    <w:p>
      <w:pPr>
        <w:spacing w:after="0" w:line="113" w:lineRule="exact"/>
        <w:rPr>
          <w:rFonts w:ascii="Arial" w:cs="Arial" w:eastAsia="Arial" w:hAnsi="Arial"/>
          <w:sz w:val="18"/>
          <w:szCs w:val="18"/>
          <w:color w:val="auto"/>
        </w:rPr>
      </w:pPr>
    </w:p>
    <w:p>
      <w:pPr>
        <w:ind w:left="880" w:right="300" w:hanging="224"/>
        <w:spacing w:after="0" w:line="24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102" w:lineRule="exact"/>
        <w:rPr>
          <w:rFonts w:ascii="Arial" w:cs="Arial" w:eastAsia="Arial" w:hAnsi="Arial"/>
          <w:sz w:val="18"/>
          <w:szCs w:val="18"/>
          <w:color w:val="auto"/>
        </w:rPr>
      </w:pPr>
    </w:p>
    <w:p>
      <w:pPr>
        <w:ind w:left="880" w:right="600" w:hanging="224"/>
        <w:spacing w:after="0" w:line="24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02" w:lineRule="exact"/>
        <w:rPr>
          <w:rFonts w:ascii="Arial" w:cs="Arial" w:eastAsia="Arial" w:hAnsi="Arial"/>
          <w:sz w:val="18"/>
          <w:szCs w:val="18"/>
          <w:color w:val="auto"/>
        </w:rPr>
      </w:pPr>
    </w:p>
    <w:p>
      <w:pPr>
        <w:jc w:val="both"/>
        <w:ind w:left="880" w:right="20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 and state laws that require manufacturers to report information related to</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580"/>
        <w:spacing w:after="0" w:line="246" w:lineRule="auto"/>
        <w:rPr>
          <w:sz w:val="20"/>
          <w:szCs w:val="20"/>
          <w:color w:val="auto"/>
        </w:rPr>
      </w:pPr>
      <w:r>
        <w:rPr>
          <w:rFonts w:ascii="Arial" w:cs="Arial" w:eastAsia="Arial" w:hAnsi="Arial"/>
          <w:sz w:val="18"/>
          <w:szCs w:val="18"/>
          <w:color w:val="auto"/>
        </w:rPr>
        <w:t>payments and other transfers of value to physicians and other healthcare providers or marketing expenditures and pricing information.</w:t>
      </w:r>
    </w:p>
    <w:p>
      <w:pPr>
        <w:spacing w:after="0" w:line="102" w:lineRule="exact"/>
        <w:rPr>
          <w:sz w:val="20"/>
          <w:szCs w:val="20"/>
          <w:color w:val="auto"/>
        </w:rPr>
      </w:pPr>
    </w:p>
    <w:p>
      <w:pPr>
        <w:ind w:left="880" w:right="120" w:hanging="224"/>
        <w:spacing w:after="0" w:line="23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healthcare providers; state laws that require the reporting of marketing expenditures or drug pricing, including information pertaining to and justifying price increases; state and local laws that require the registration of pharmaceutical sales representatives; and state laws that prohibit various marketing-related activities, such as the provision of certain kinds of gifts or meals; state laws that require the posting of information relating to clinical trials and their outcomes.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Legislative Reform</w:t>
      </w:r>
    </w:p>
    <w:p>
      <w:pPr>
        <w:spacing w:after="0" w:line="12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operate in a highly regulated industry, and new laws, regulations and judicial decisions, or new interpretations of existing laws, regulations and decisions, related to healthcare availability, the method of delivery and payment for healthcare products and services could negatively affect our business, financial condition and prospects. There is significant interest in promoting healthcare reforms, and it is likely that federal and state legislatures within the United States and the governments of other countries will continue to consider changes to existing healthcare legislation.</w:t>
      </w:r>
    </w:p>
    <w:p>
      <w:pPr>
        <w:spacing w:after="0" w:line="202"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For example, the United States and state governments continue to propose and pass legislation designed to reduce the cost of healthcare. In 2010, the U.S. Congress enacted the Affordable Care Act, which included changes to the coverage and reimbursement of drug products under government healthcare programs such as:</w:t>
      </w:r>
    </w:p>
    <w:p>
      <w:pPr>
        <w:spacing w:after="0" w:line="108"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the minimum Medicaid rebates owed by manufacturers under the Medicaid Drug Rebate Program;</w:t>
      </w:r>
    </w:p>
    <w:p>
      <w:pPr>
        <w:spacing w:after="0" w:line="117"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a branded prescription drug fee that pharmaceutical manufacturers of certain branded prescription drugs must pay to the federal government;</w:t>
      </w:r>
    </w:p>
    <w:p>
      <w:pPr>
        <w:spacing w:after="0" w:line="102" w:lineRule="exact"/>
        <w:rPr>
          <w:rFonts w:ascii="Arial" w:cs="Arial" w:eastAsia="Arial" w:hAnsi="Arial"/>
          <w:sz w:val="18"/>
          <w:szCs w:val="18"/>
          <w:color w:val="auto"/>
        </w:rPr>
      </w:pPr>
    </w:p>
    <w:p>
      <w:pPr>
        <w:ind w:left="880" w:right="68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expanded the list of covered entities eligible to participate in the 340B drug pricing program by adding new entities to the program;</w:t>
      </w:r>
    </w:p>
    <w:p>
      <w:pPr>
        <w:spacing w:after="0" w:line="102" w:lineRule="exact"/>
        <w:rPr>
          <w:rFonts w:ascii="Arial" w:cs="Arial" w:eastAsia="Arial" w:hAnsi="Arial"/>
          <w:sz w:val="18"/>
          <w:szCs w:val="18"/>
          <w:color w:val="auto"/>
        </w:rPr>
      </w:pPr>
    </w:p>
    <w:p>
      <w:pPr>
        <w:ind w:left="880" w:right="14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108" w:lineRule="exact"/>
        <w:rPr>
          <w:rFonts w:ascii="Arial" w:cs="Arial" w:eastAsia="Arial" w:hAnsi="Arial"/>
          <w:sz w:val="18"/>
          <w:szCs w:val="18"/>
          <w:color w:val="auto"/>
        </w:rPr>
      </w:pPr>
    </w:p>
    <w:p>
      <w:pPr>
        <w:ind w:left="880" w:right="66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extended manufacturers’ Medicaid rebate liability to covered drugs dispensed to individuals who are enrolled in Medicaid managed care organizations;</w:t>
      </w:r>
    </w:p>
    <w:p>
      <w:pPr>
        <w:spacing w:after="0" w:line="102" w:lineRule="exact"/>
        <w:rPr>
          <w:rFonts w:ascii="Arial" w:cs="Arial" w:eastAsia="Arial" w:hAnsi="Arial"/>
          <w:sz w:val="18"/>
          <w:szCs w:val="18"/>
          <w:color w:val="auto"/>
        </w:rPr>
      </w:pPr>
    </w:p>
    <w:p>
      <w:pPr>
        <w:ind w:left="880" w:right="42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08" w:lineRule="exact"/>
        <w:rPr>
          <w:rFonts w:ascii="Arial" w:cs="Arial" w:eastAsia="Arial" w:hAnsi="Arial"/>
          <w:sz w:val="18"/>
          <w:szCs w:val="18"/>
          <w:color w:val="auto"/>
        </w:rPr>
      </w:pPr>
    </w:p>
    <w:p>
      <w:pPr>
        <w:ind w:left="880" w:right="160" w:hanging="224"/>
        <w:spacing w:after="0" w:line="274"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created a new methodology by which rebates owed by manufacturers under the Medicaid Drug Rebate Program are calculated for certain drugs and biologics, including our product candidates, that are inhaled, infused, instilled, implanted or injected;</w:t>
      </w:r>
    </w:p>
    <w:p>
      <w:pPr>
        <w:spacing w:after="0" w:line="80" w:lineRule="exact"/>
        <w:rPr>
          <w:rFonts w:ascii="Arial" w:cs="Arial" w:eastAsia="Arial" w:hAnsi="Arial"/>
          <w:sz w:val="17"/>
          <w:szCs w:val="17"/>
          <w:color w:val="auto"/>
        </w:rPr>
      </w:pPr>
    </w:p>
    <w:p>
      <w:pPr>
        <w:ind w:left="880" w:right="44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 along with funding for such research;</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60" w:hanging="224"/>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established a Center for Medicare and Medicaid Innovation at the CMS to test innovative payment and service delivery models to lower Medicare and Medicaid spending, potentially including prescription drug spending;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created a licensure framework for follow-on biologic products.</w:t>
      </w:r>
    </w:p>
    <w:p>
      <w:pPr>
        <w:spacing w:after="0" w:line="212"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There have been executive, judicial and congressional challenges to certain aspects of the Affordable Care Act. For example, in 2017, the U.S. Congress enacted legislation informally titled the Tax Cuts and Jobs Act (the Tax Act), which eliminated the tax-based shared responsibility payment imposed by the Affordable Care Act on certain individuals who fail to maintain qualifying health coverage for all or part of a year that is commonly referred to as the “individual mandate.” On December 14, 2018, the U.S. District Court for the Northern District of Texas held that the individual mandate is a critical and inseverable feature of the Affordable Care Act, and therefore, because it was repealed by the Tax Act, the remaining provisions of the Affordable Care Act are invalid as well. On December 18, 2019, the U.S. Court of Appeals for the Fifth Circuit upheld the District Court ruling that the individual mandate was unconstitutional and remanded the case back to the District Court to determine whether the remaining provisions of the Affordable Care Act are invalid as well. The U.S. Supreme Court is currently reviewing the case, although it is unknown when a decision will be made. Further, although the U.S. Supreme Court has not yet ruled on the constitutionality of the Affordable Care Act, on January 28, 2021, President Biden issued an executive order to initiate a special enrollment period from February 15, 2021 through May 15, 2021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the Supreme Court ruling, other such litigation, and the healthcare reform measures of the Biden administration will impact the Affordable Care Act. It is difficult to predict the future legislative landscape in healthcare and the effect on our business, results of operations, financial condition and prospects.</w:t>
      </w:r>
    </w:p>
    <w:p>
      <w:pPr>
        <w:spacing w:after="0" w:line="213" w:lineRule="exact"/>
        <w:rPr>
          <w:sz w:val="20"/>
          <w:szCs w:val="20"/>
          <w:color w:val="auto"/>
        </w:rPr>
      </w:pPr>
    </w:p>
    <w:p>
      <w:pPr>
        <w:ind w:left="120" w:right="60" w:firstLine="551"/>
        <w:spacing w:after="0" w:line="235" w:lineRule="auto"/>
        <w:rPr>
          <w:sz w:val="20"/>
          <w:szCs w:val="20"/>
          <w:color w:val="auto"/>
        </w:rPr>
      </w:pPr>
      <w:r>
        <w:rPr>
          <w:rFonts w:ascii="Arial" w:cs="Arial" w:eastAsia="Arial" w:hAnsi="Arial"/>
          <w:sz w:val="18"/>
          <w:szCs w:val="18"/>
          <w:color w:val="auto"/>
        </w:rPr>
        <w:t>In addition, there have been and continue to be a number of initiatives at the United States federal and state levels that seek to reduce healthcare costs. In 2011, the U.S. Congress enacted the Budget Control Act, which included provisions intended to reduce the federal deficit. The Budget Control Act resulted in the imposition of 2% reductions in Medicare payments to providers beginning in 2013 and, due to subsequent legislative amendments to the statute, will remain in effect through 2030, with the exception of a temporary suspension from May 1, 2020 through March 31, 2021, absent additional Congressional action. In addition, in 2012, the U.S. Congress enacted the American Taxpayer Relief Act,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government spending is further reduced, anticipated budgetary shortfalls may also impact the ability of relevant agencies, such as the FDA, to continue to function at current levels, which may impact the ability of relevant agencies to timely review and approve research and development, manufacturing and marketing activities, which may delay our ability to develop, market and sell any product candidates we may develop. Moreover, any significant spending reductions affecting Medicare, Medicaid or other publicly funded or subsidized health programs that may be implemented, or any significant taxes or fees that may be imposed on us, as part of any broader deficit reduction effort or legislative replacement to the Budget Control Act, could have an adverse impact on our anticipated product revenues.</w:t>
      </w:r>
    </w:p>
    <w:p>
      <w:pPr>
        <w:spacing w:after="0" w:line="214" w:lineRule="exact"/>
        <w:rPr>
          <w:sz w:val="20"/>
          <w:szCs w:val="20"/>
          <w:color w:val="auto"/>
        </w:rPr>
      </w:pPr>
    </w:p>
    <w:p>
      <w:pPr>
        <w:ind w:left="120" w:right="660" w:firstLine="551"/>
        <w:spacing w:after="0" w:line="246" w:lineRule="auto"/>
        <w:rPr>
          <w:sz w:val="20"/>
          <w:szCs w:val="20"/>
          <w:color w:val="auto"/>
        </w:rPr>
      </w:pPr>
      <w:r>
        <w:rPr>
          <w:rFonts w:ascii="Arial" w:cs="Arial" w:eastAsia="Arial" w:hAnsi="Arial"/>
          <w:sz w:val="18"/>
          <w:szCs w:val="18"/>
          <w:color w:val="auto"/>
        </w:rPr>
        <w:t>Furthermore, there has been heightened governmental scrutiny over the manner in which manufacturers set prices for their marketed products, which has resulted in several congressional</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inquiries and proposed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It is also possible that additional governmental action will be taken in response to the COVID-19 pandemic.</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Environmental, Health and Safety Laws and Regulations</w:t>
      </w:r>
    </w:p>
    <w:p>
      <w:pPr>
        <w:spacing w:after="0" w:line="12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particular, our product candidates use PBDs, which are highly potent cytotoxins that require special handling by our and our contractors’ staff. In the event of contamination or injury, or failure to comply with environmental, health and safety laws and regulations, we could be held liable for any resulting damages, fines and penalties associated with such liability could exceed our assets and resources. Environmental, health and safety laws and regulations are becoming increasingly more stringent. We may incur substantial costs in order to comply with current or future environmental, health and safety laws and regulations.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Pharmaceutical Coverage, Pricing and Reimbursement</w:t>
      </w:r>
    </w:p>
    <w:p>
      <w:pPr>
        <w:spacing w:after="0" w:line="122"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availability and extent of coverage and adequate reimbursement by governmental and private third-party payors are essential for most patients to be able to afford expensive medical</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treatments. In both domestic and foreign markets, sales of our product candidates will depend substantially on the extent to which the costs of our product candidates will be covered by third-party payors, such as government health programs, commercial insurance, and managed healthcare organizations. These third-party payors decide which products will be covered and establish reimbursement levels for those products.</w:t>
      </w:r>
    </w:p>
    <w:p>
      <w:pPr>
        <w:spacing w:after="0" w:line="205"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Coverage and reimbursement by a third-party payor may depend upon a number of factors, including the third-party payor’s determination that use of a product is:</w:t>
      </w:r>
    </w:p>
    <w:p>
      <w:pPr>
        <w:spacing w:after="0" w:line="102"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Obtaining coverage approval and reimbursement for a product from a government or other third-party payor is a time-consuming and costly process that could require us to provide supporting scientific, clinical and cost- effectiveness data for the use of our products to the payor. We may not be able to provide data sufficient to gain acceptance with respect to coverage and reimbursement at a satisfactory level. If coverage and adequate reimbursement of our future products, if any, are unavailable or limited in scope or amount, such as may result where alternative or generic treatments are available, we may be unable to achieve or sustain profitability. Adverse coverage and reimbursement limitations may hinder our ability to recoup our investment in our product candidates, even if such product candidates obtain regulatory approval. For products administered under the supervision of a physician, obtaining coverage and adequate reimbursement may be particularly difficult because of the higher prices often associated with such products. Additionally, separate reimbursement for the product itself or the treatment or procedure in which the product is used may not be available, which may impact physician utilization.</w:t>
      </w:r>
    </w:p>
    <w:p>
      <w:pPr>
        <w:spacing w:after="0" w:line="20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There is no uniform policy for coverage and reimbursement in the United States and, as a result, coverage and reimbursement can differ significantly from payor to payor. In the United States, private payors often, but not always, follow Medicare coverage and reimbursement policies with respect to newly approved products. It is difficult to predict what third- party payors will decide with respect to coverage and reimbursement for fundamentally novel products such as ours, as there is no body of established practices and precedents for these new products. Further, one payor’s determination to provide coverage and adequate reimbursement for a product does not assure that other payors will also provide coverage and adequate reimbursement for that product. We may need to conduct expensive pharmaco-economic studies in order to demonstrate the medical necessity and cost-effectiveness of our product candidates. There can be no assurance that our product candidates will be considered medically necessary or cost-effective. In addition to third-party payors, professional organizations and patient advocacy groups such as the National Comprehensive Cancer Network and the American Society of Clinical Oncology can influence decisions about reimbursement for new medicines by determining standards for care. Therefore, it is possible that any of our product candidates, even if approved, may not be covered by third-party payors or the reimbursement limit may be so restrictive that we cannot commercialize the product candidates profitably.</w:t>
      </w:r>
    </w:p>
    <w:p>
      <w:pPr>
        <w:spacing w:after="0" w:line="203"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20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Reimbursement agencies in Europe may be more restrictive than payors in the United States. For example, a number of cancer products have been approved for reimbursement in the United States but not in certain European countries. In Europe, pricing and reimbursement schemes vary widely from country to country. For example,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Other countries require the completion of additional health technology assessments that compare the cost-effectiveness of a particular product candidate to currently available therapies. Within the European Union legislation relating to and regulation of the reimbursement of medicinal products, and to control the prices of such products, is a matter for individual member states. European Union member states may approve a specific price for a product, may adopt a system of direct or indirect controls on the profitability of the company placing the product on the market or monitor and control prescription volumes and issue guidance to physicians to limit prescriptions. Reference pricing used by various European Union member states and parallel distribution, or arbitrage between low-priced and high-priced member states, can further reduce prices. Furthermore, many countries in the European Union have increased the amount of discounts required on pharmaceutical products, and these efforts could continue as countries attempt to manage healthcare expenditures, especially in light of the severe fiscal and debt crises experienced by many countries in the European Union. The downward pressure on healthcare costs in general, and prescription products in particular, has become increasingly intense. As a result, there are increasingly higher barriers to entry for new products. There can be no assurance that any country that has reimbursement limitations for pharmaceutical products will allow favorable reimbursement and pricing arrangements for any of our products, if approved in those countries. Accordingly, the reimbursement for any products in Europe may be reduced compared with the United States and may be insufficient to generate commercially reasonable revenues and profits.</w:t>
      </w:r>
    </w:p>
    <w:p>
      <w:pPr>
        <w:spacing w:after="0" w:line="21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Furthermore, the containment of healthcare costs has become a priority of foreign and domestic governments as well as private third-party payors. The prices of drugs have been a focus in this effort. Governments and private third-party payors have attempted to control costs by limiting coverage and the amount of reimbursement for particular medications, which could affect our ability to sell our product candidates profitably. We also expect to experience pricing pressures due to the trend towards managed healthcare, the increasing influence of health maintenance organizations and additional legislative changes. These and other cost-control initiatives could cause us to decrease the price we might establish for products, which could result in lower-than-anticipated product revenues. In addition, the publication of discounts by third-party payors or authorities may lead to further pressure on the prices or reimbursement levels within the country of publication and other countries. If pricing is set at unsatisfactory levels or if coverage and adequate reimbursement of our products is unavailable or limited in scope or amount, our revenues and the potential profitability of our product candidates in those countries would be negatively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were incorporated under the laws of the State of Delaware on January 4, 2016. Our principal executive offices are located at 500 Fairview Ave N, Suite 600, Seattle, Washington 98109, and our telephone number is (206) 456-2900. Our corporate website address is www.silverbacktx.com.</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Information contained on, or accessible through, our website shall not be deemed incorporated into and is not a part of this Annual Report on Form 10-K. We have included our website in this Annual Report on Form 10-K solely as an inactive textual reference.</w:t>
      </w:r>
    </w:p>
    <w:p>
      <w:pPr>
        <w:spacing w:after="0" w:line="197"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“Silverback Therapeutics,” “Silverback,” the Silverback logo, “ImmunoTAC,” and other trademarks, trade names or service marks of Silverback Therapeutics, Inc. appearing in this Annual Report on Form 10-K are the property of Silverback Therapeutics, Inc. All other trademarks, trade names and service marks appearing in this Annual Report on Form 10-K are the property of their respective owners.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34"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As of December 31, 2020, we had 54 full-time employees. Of these employees, 20 held Ph.D., Pharm.D. or M.D. degrees, and 43 were engaged in research, development and technical operations. As of such date, we had 51 employees based at our headquarters in Seattle, Washington. Our employees are not represented by labor unions or covered by collective bargaining agreements. We consider our relationship with our employees to be good.</w:t>
      </w:r>
    </w:p>
    <w:p>
      <w:pPr>
        <w:spacing w:after="0" w:line="205" w:lineRule="exact"/>
        <w:rPr>
          <w:sz w:val="20"/>
          <w:szCs w:val="20"/>
          <w:color w:val="auto"/>
        </w:rPr>
      </w:pPr>
    </w:p>
    <w:p>
      <w:pPr>
        <w:ind w:left="120" w:right="360" w:firstLine="551"/>
        <w:spacing w:after="0" w:line="23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b w:val="1"/>
          <w:bCs w:val="1"/>
          <w:i w:val="1"/>
          <w:iCs w:val="1"/>
          <w:color w:val="auto"/>
        </w:rPr>
        <w:t>We have a limited operating history, have incurred net losses since our inception, and anticipate that we will continue to incur significant losses for the foreseeable future. We may never generate any revenue or become profitable or, if we achieve profitability, may not be able to sustain it.</w:t>
      </w:r>
    </w:p>
    <w:p>
      <w:pPr>
        <w:spacing w:after="0" w:line="8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are an early-stage biopharmaceutical company with a limited operating history that may make it difficult to evaluate the success of our business to date and to assess our future viability. Our operations to date have been limited to organizing and staffing our company, business planning, raising capital, developing and optimizing our technology platform, identifying potential product candidates, undertaking research and preclinical studies and a clinical trial for our lead program, engaging in manufacturing for our development programs, establishing and enhancing our intellectual property portfolio, and providing general and administrative support for these operations. We have one product candidate in early clinical development and all of our other product candidates are in preclinical development, and none have been approved for commercial sale. We have never generated any revenue from product sales and have incurred net losses each year since we commenced operations.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For the years ended December 31, 2020 and 2019, our net losses were $32.9 million and $24.0 million, respectively. We expect that it will be several years, if ever, before we have a product candidate ready for regulatory approval and commercialization. We expect to incur increasing levels of operating losses over the next several years and for the foreseeable future as we advance our product candidates through clinical development. Our prior losses, combined with expected future losses, have had and will continue to have an adverse effect on our stockholders’ deficit and working capital.</w:t>
      </w:r>
    </w:p>
    <w:p>
      <w:pPr>
        <w:spacing w:after="0" w:line="202"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To become and remain profitable, we must develop and eventually commercialize a product or products with significant market potential. This will require us to be successful in a range of challenging activities, including completing preclinical studies and clinical trials of our product candidates, obtaining marketing approval for these product candidates, manufacturing, marketing and selling those products for which we may obtain marketing approval and satisfying any post-marketing requirements. We may never succeed in these activities and, even if we succeed in commercializing one or more of our product candidates, we may never generate revenue that is significant or large enough to achieve profitability. In addition, as a young business, we may encounter unforeseen expenses, difficulties, complications, delays and other known and unknown challenges.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would decrease the value of the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291" w:lineRule="exact"/>
        <w:rPr>
          <w:sz w:val="20"/>
          <w:szCs w:val="20"/>
          <w:color w:val="auto"/>
        </w:rPr>
      </w:pPr>
    </w:p>
    <w:p>
      <w:pPr>
        <w:ind w:left="120" w:right="1120"/>
        <w:spacing w:after="0" w:line="271" w:lineRule="auto"/>
        <w:rPr>
          <w:sz w:val="20"/>
          <w:szCs w:val="20"/>
          <w:color w:val="auto"/>
        </w:rPr>
      </w:pPr>
      <w:r>
        <w:rPr>
          <w:rFonts w:ascii="Arial" w:cs="Arial" w:eastAsia="Arial" w:hAnsi="Arial"/>
          <w:sz w:val="18"/>
          <w:szCs w:val="18"/>
          <w:b w:val="1"/>
          <w:bCs w:val="1"/>
          <w:i w:val="1"/>
          <w:iCs w:val="1"/>
          <w:color w:val="auto"/>
        </w:rPr>
        <w:t>If we are unable to raise additional capital when needed, we may be forced to delay, reduce or eliminate our product development programs or other operations.</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Since our inception, we have used substantial amounts of cash to fund our operations and expect our expenses to increase substantially during the next few years. The development of biopharmaceutical product candidates is capital intensive. As our product candidates enter and advance through preclinical studies and clinical trials, we will need substantial additional funds to expand our clinical, regulatory, quality and manufacturing capabilities. In addition, if we obtain marketing approval for any of our product candidates, we expect to incur significant commercialization expenses related to marketing, sales, manufacturing and distribution. Furthermore, following the completion of our initial public offering in December 2020, we have incurred and expect to continue to incur additional costs associated with operating as a public company.</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As of December 31, 2020, we had $386.6 million in cash and cash equivalents. Based upon our current operating plan, we estimate that our existing cash and cash equivalents will be sufficient to fund our operating expenses and capital expenditure requirements for at least the next 24 months. However, we believe that our existing cash and cash equivalents will not be sufficient to fund any of our product candidates through regulatory approval, and we will need to raise substantial additional capital to complete the development and commercialization of our product candidates.</w:t>
      </w:r>
    </w:p>
    <w:p>
      <w:pPr>
        <w:spacing w:after="0" w:line="202" w:lineRule="exact"/>
        <w:rPr>
          <w:sz w:val="20"/>
          <w:szCs w:val="20"/>
          <w:color w:val="auto"/>
        </w:rPr>
      </w:pPr>
    </w:p>
    <w:p>
      <w:pPr>
        <w:jc w:val="both"/>
        <w:ind w:left="120" w:right="560" w:firstLine="551"/>
        <w:spacing w:after="0"/>
        <w:rPr>
          <w:sz w:val="20"/>
          <w:szCs w:val="20"/>
          <w:color w:val="auto"/>
        </w:rPr>
      </w:pPr>
      <w:r>
        <w:rPr>
          <w:rFonts w:ascii="Arial" w:cs="Arial" w:eastAsia="Arial" w:hAnsi="Arial"/>
          <w:sz w:val="18"/>
          <w:szCs w:val="18"/>
          <w:color w:val="auto"/>
        </w:rPr>
        <w:t>We have based these estimates on assumptions that may prove to be incorrect or require adjustment as a result of business decisions, and we could utilize our available capital resources sooner than we currently expect. Our future capital requirements will depend on many factors, including:</w:t>
      </w:r>
    </w:p>
    <w:p>
      <w:pPr>
        <w:spacing w:after="0" w:line="108" w:lineRule="exact"/>
        <w:rPr>
          <w:sz w:val="20"/>
          <w:szCs w:val="20"/>
          <w:color w:val="auto"/>
        </w:rPr>
      </w:pPr>
    </w:p>
    <w:p>
      <w:pPr>
        <w:ind w:left="880" w:right="4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initiation, trial design, progress, timing, costs and results of drug discovery, preclinical studies and clinical trials of our product candidates, and in particular the clinical trials for SBT6050;</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32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length of our clinical trials, including, among other things, as a result of delays in enrollment, difficulties enrolling sufficient subjects or delays or difficulties in clinical trial site initiations;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timing and costs of seeking FDA, European Medicines Agency (EMA) and any other regulatory approvals;</w:t>
      </w:r>
    </w:p>
    <w:p>
      <w:pPr>
        <w:spacing w:after="0" w:line="117"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manufacturing our product candidates, in particular for clinical trials in preparation for marketing approval and in preparation for commercialization;</w:t>
      </w:r>
    </w:p>
    <w:p>
      <w:pPr>
        <w:spacing w:after="0" w:line="102"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any third-party products used in our combination clinical trials that are not covered by such third party or other sources;</w:t>
      </w:r>
    </w:p>
    <w:p>
      <w:pPr>
        <w:spacing w:after="0" w:line="102" w:lineRule="exact"/>
        <w:rPr>
          <w:rFonts w:ascii="Arial" w:cs="Arial" w:eastAsia="Arial" w:hAnsi="Arial"/>
          <w:sz w:val="18"/>
          <w:szCs w:val="18"/>
          <w:color w:val="auto"/>
        </w:rPr>
      </w:pPr>
    </w:p>
    <w:p>
      <w:pPr>
        <w:ind w:left="880" w:right="46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manufacturing and clinical activities increase;</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receipt of marketing approval and revenue received from any commercial sales of any of our product candidates, if approved;</w:t>
      </w:r>
    </w:p>
    <w:p>
      <w:pPr>
        <w:spacing w:after="0" w:line="128" w:lineRule="exact"/>
        <w:rPr>
          <w:rFonts w:ascii="Arial" w:cs="Arial" w:eastAsia="Arial" w:hAnsi="Arial"/>
          <w:sz w:val="17"/>
          <w:szCs w:val="17"/>
          <w:color w:val="auto"/>
        </w:rPr>
      </w:pPr>
    </w:p>
    <w:p>
      <w:pPr>
        <w:ind w:left="880" w:right="8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commercialization activities for any of our product candidates, if approved, including marketing, sales and distribution costs;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emergence of competing therapies and other adverse market developments;</w:t>
      </w:r>
    </w:p>
    <w:p>
      <w:pPr>
        <w:spacing w:after="0" w:line="117" w:lineRule="exact"/>
        <w:rPr>
          <w:rFonts w:ascii="Arial" w:cs="Arial" w:eastAsia="Arial" w:hAnsi="Arial"/>
          <w:sz w:val="18"/>
          <w:szCs w:val="18"/>
          <w:color w:val="auto"/>
        </w:rPr>
      </w:pPr>
    </w:p>
    <w:p>
      <w:pPr>
        <w:ind w:left="880" w:right="52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establish and maintain strategic collaboration, licensing or other arrangements and the financial terms of such agreements;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we in-license or acquire other products and technologies;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any payments we may be required to make pursuant to our current or future license agreements;</w:t>
      </w:r>
    </w:p>
    <w:p>
      <w:pPr>
        <w:spacing w:after="0" w:line="117"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medical personnel;</w:t>
      </w:r>
    </w:p>
    <w:p>
      <w:pPr>
        <w:spacing w:after="0" w:line="117"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implementation of additional internal systems and infrastructure, including operational, financial and management information systems;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 costs associated with expanding our facilities or building out our laboratory space;</w:t>
      </w:r>
    </w:p>
    <w:p>
      <w:pPr>
        <w:spacing w:after="0" w:line="117"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the recent disruptions to and volatility in the credit and financial markets in the United States and worldwide from the COVID-19 pandemic;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2"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Because we do not expect to generate revenue from product sales for many years, if at all, we will need to obtain substantial additional funding in connection with our continuing operations and expected increases in expenses. Until such time as we can generate significant revenue from sales of our product candidates, if ever, we expect to finance our cash needs through equity offerings, debt financings or other capital sources, including potentially grants, collaborations, licenses or other similar arrangements. In addition, we may seek additional capital due to favorable market conditions or strategic considerations, even if we believe we have sufficient funds for our current or future operating plans. The impact of the COVID-19 pandemic on capital markets may affect the availability, amount and type of financing available to us in the future. If we are unable to raise capital when needed or on attractive terms, we would be forced to delay, reduce or eliminate our research and development programs or future commercialization efforts.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8" w:lineRule="exact"/>
        <w:rPr>
          <w:sz w:val="20"/>
          <w:szCs w:val="20"/>
          <w:color w:val="auto"/>
        </w:rPr>
      </w:pPr>
    </w:p>
    <w:p>
      <w:pPr>
        <w:ind w:left="120" w:right="180" w:firstLine="551"/>
        <w:spacing w:after="0" w:line="237" w:lineRule="auto"/>
        <w:rPr>
          <w:sz w:val="20"/>
          <w:szCs w:val="20"/>
          <w:color w:val="auto"/>
        </w:rPr>
      </w:pPr>
      <w:r>
        <w:rPr>
          <w:rFonts w:ascii="Arial" w:cs="Arial" w:eastAsia="Arial" w:hAnsi="Arial"/>
          <w:sz w:val="18"/>
          <w:szCs w:val="18"/>
          <w:color w:val="auto"/>
        </w:rPr>
        <w:t>Until such time, if ever, as we can generate substantial product revenue, we expect to finance our operations through equity offerings, debt financings or other capital sources, including potentially grants, collaborations, licenses or other similar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Additional debt financing, if available, may involve agreements that include covenants further limiting or restricting our ability to take specific actions beyond those contained in our existing loan agreement, such as further limitations on our ability to incur additional debt, make capital expenditures or declare dividends.</w:t>
      </w:r>
    </w:p>
    <w:p>
      <w:pPr>
        <w:spacing w:after="0" w:line="20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If we raise funds through collaborations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8"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The terms of our loan agreement place restrictions on our operating and financial flexibility. If we raise additional capital through debt financing, the terms of any new debt could further restrict our ability to operate our business.</w:t>
      </w:r>
    </w:p>
    <w:p>
      <w:pPr>
        <w:spacing w:after="0" w:line="68"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18"/>
          <w:szCs w:val="18"/>
          <w:color w:val="auto"/>
        </w:rPr>
        <w:t>As of December 31, 2020, we had an outstanding term loan including principal and final payment fee of $0.8 million under our loan and security agreement, as amended, with Silicon Valley Bank (SVB). The loan is secured by a lien covering substantially all of our personal property, rights and assets, excluding intellectual property. The loan agreement contains customary affirmative and negative covenants and events of default applicable to us and any subsidiaries. The affirmative covenants include, among others, covenants requiring us (and us to cause our subsidiaries, if any) to maintain governmental approvals, deliver certain financial reports, maintain insurance coverage, and protect material intellectual property. The negative covenants include, among others, restrictions on us and our subsidiaries transferring collateral, changing our business, engaging in mergers or acquisitions, incurring additional indebtedness, paying cash dividends or making other distributions, making investments, creating liens, selling assets and making any payment on subordinated debt, in each case subject to certain exceptions. The restrictive covenants of the loan agreement could cause us to be unable to pursue business opportunities that we or our stockholders may consider beneficial. In addition, SVB could declare a default upon the occurrence of any event that it interprets as a material adverse change as defined under the loan agreement. If we default under the loan agreement, SVB may accelerate all of our repayment obligations and take control of our pledged assets, potentially requiring us to renegotiate our agreement on terms less favorable to us or to immediately cease operations. Further, if we are liquidated, SVB’s right to repayment would be senior to the rights of the holders of our common stock to receive any proceeds from the liquidation. Any declaration by SVB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12"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We are early in our development efforts and we have only one product candidate in clinical development. We have a limited history of conducting clinical trials to test our product candidates in humans.</w:t>
      </w:r>
    </w:p>
    <w:p>
      <w:pPr>
        <w:spacing w:after="0" w:line="68"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7"/>
          <w:szCs w:val="17"/>
          <w:color w:val="auto"/>
        </w:rPr>
        <w:t>We are early in our development efforts and most of our operations to date have been limited to developing our platform technologies and conducting drug discovery and preclinical studies. Our lead product candidate, SBT6050, entered Phase 1/1b clinical trial in July 2020, which was the first time one of our product candidates had been tested in humans. As a result, we have limited infrastructure, experience conducting clinical trials as a company and regulatory interactions, and cannot be certain that our current or planned clinical trials will be completed on time, if at all, that our planned development programs would be acceptable to the FDA or other comparable foreign regulatory authorities, or that, if approval is obtained, such product candidates can be successfully commercialized.</w:t>
      </w:r>
    </w:p>
    <w:p>
      <w:pPr>
        <w:spacing w:after="0" w:line="195"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Because of the early stage of development of our products candidates, our ability to eventually generate significant revenues from product sales will depend on a number of factors, including:</w:t>
      </w:r>
    </w:p>
    <w:p>
      <w:pPr>
        <w:spacing w:after="0" w:line="102"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completion of additional preclinical studies;</w:t>
      </w:r>
    </w:p>
    <w:p>
      <w:pPr>
        <w:spacing w:after="0" w:line="117"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submission of our INDs or other regulatory applications to allow for initiation of our planned clinical trials or future clinical trials and authorizations from regulators to initiate clinical studies;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and achieving positive results from the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demonstrating a risk-benefit profile acceptable to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880" w:right="580" w:hanging="224"/>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manufacturing capabilities or arrangements with third-party manufacturers for clinical supply and, if and when approved, for commercial supply;</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combination with others;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and implementing marketing and reimbursement strategies;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w:t>
      </w:r>
    </w:p>
    <w:p>
      <w:pPr>
        <w:spacing w:after="0" w:line="117"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maintaining patent, trade secret and other intellectual property protection and regulatory exclusivity for our product candidates;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obtain clearance or approval of companion diagnostic tests, on a timely basis, or at all;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any product following approval, if any.</w:t>
      </w:r>
    </w:p>
    <w:p>
      <w:pPr>
        <w:spacing w:after="0" w:line="212"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If we do not achieve one or more of these requirements in a timely manner, we could experience significant delays or an inability to successfully commercialize our product candidates, which would materially harm our business.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b w:val="1"/>
          <w:bCs w:val="1"/>
          <w:i w:val="1"/>
          <w:iCs w:val="1"/>
          <w:color w:val="auto"/>
        </w:rPr>
        <w:t>Preclinical and clinical development is a lengthy, expensive and uncertain process. The results of preclinical studies and early clinical trials are not always predictive of future results. Any product candidate that we advance into clinical trials, including SBT6050, may not achieve favorable results in later clinical trials, if any, or receive marketing approval.</w:t>
      </w:r>
    </w:p>
    <w:p>
      <w:pPr>
        <w:spacing w:after="0" w:line="8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research and development of drugs and biological products is extremely risky. Only a small percentage of product candidates that enter the development process ever receive marketing approval. Before obtaining marketing approval from regulatory authorities for the sale of our product candidates, we must conduct extensive clinical trials to demonstrate the safety and efficacy of the product candidates in humans. Clinical testing is expensive, can take many years to complete and its outcome is uncertain. We may face unforeseen challenges in our product candidate development strategy, and we can provide no assurances that we will ultimately be successful in our current and future clinical trials or that our product candidates will be able to receive regulatory approval. The results of preclinical studies and early clinical trials of our product candidates and other products, even those with the same or similar mechanisms of action, may not be predictive of the results of later-stage clinical trials. For example, it is not uncommon for product candidates to exhibit unforeseen safety or efficacy issues when tested in humans despite promising results in preclinical animal models. In particular, while we have conducted preclinical studies of SBT6050, we do not know how SBT6050 will perform in the ongoing Phase 1/1b clinical trial or in future clinical trials, whether any initial tumor responses that may be observed will be durable or whether adverse events will arise over time. Future results of preclinical and clinical testing of our product candidates are also less certain due to the novel and relatively untested nature of our approach to TLR8 and related platform technologies. In general, clinical trial failure may result from a multitude of factors including flaws in study design, dose selection, patient enrollment criteria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w:t>
      </w:r>
    </w:p>
    <w:p>
      <w:pPr>
        <w:spacing w:after="0" w:line="21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Prior to obtaining approval to commercialize any product candidate in the United States or abroad, we must demonstrate with substantial evidence from well-controlled clinical trials, and to the satisfaction of the FDA or comparable foreign regulatory authorities, that such product candidate is safe and effective for its intended uses. Results from preclinical studies and clinical trials can be interpreted in different ways. Even if we believe that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post-approval, or it may object to elements of our clinical development program, requiring their alteration.</w:t>
      </w:r>
    </w:p>
    <w:p>
      <w:pPr>
        <w:spacing w:after="0" w:line="203" w:lineRule="exact"/>
        <w:rPr>
          <w:sz w:val="20"/>
          <w:szCs w:val="20"/>
          <w:color w:val="auto"/>
        </w:rPr>
      </w:pPr>
    </w:p>
    <w:p>
      <w:pPr>
        <w:ind w:left="120" w:right="460" w:firstLine="551"/>
        <w:spacing w:after="0" w:line="246" w:lineRule="auto"/>
        <w:rPr>
          <w:sz w:val="20"/>
          <w:szCs w:val="20"/>
          <w:color w:val="auto"/>
        </w:rPr>
      </w:pPr>
      <w:r>
        <w:rPr>
          <w:rFonts w:ascii="Arial" w:cs="Arial" w:eastAsia="Arial" w:hAnsi="Arial"/>
          <w:sz w:val="18"/>
          <w:szCs w:val="18"/>
          <w:color w:val="auto"/>
        </w:rPr>
        <w:t>If the results of our clinical trials are inconclusive or if there are safety concerns or adverse events associated with our product candidates, we may:</w:t>
      </w:r>
    </w:p>
    <w:p>
      <w:pPr>
        <w:spacing w:after="0" w:line="102"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delayed in or prevented from continuing clinical development and obtaining marketing approval for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subject to changes or limitations in the way the product is administered;</w:t>
      </w:r>
    </w:p>
    <w:p>
      <w:pPr>
        <w:spacing w:after="0" w:line="117" w:lineRule="exact"/>
        <w:rPr>
          <w:rFonts w:ascii="Arial" w:cs="Arial" w:eastAsia="Arial" w:hAnsi="Arial"/>
          <w:sz w:val="18"/>
          <w:szCs w:val="18"/>
          <w:color w:val="auto"/>
        </w:rPr>
      </w:pPr>
    </w:p>
    <w:p>
      <w:pPr>
        <w:ind w:left="880" w:right="1120" w:hanging="224"/>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40" w:hanging="224"/>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Risk Evaluation and Mitigation Strategy (REMS);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12"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Treatment of cancer patients with our oncology product candidates may be used in combination with other cancer drugs, such as other immuno-oncology agents, monoclonal antibodies or other protein-based drugs or small molecule anti-cancer agent such as targeted agents or chemotherapy, which can cause side effects or adverse events that are unrelated to our product candidate but may still impact the success of our clinical trials. Additionally, our product candidates could potentially cause adverse events. The inclusion of critically ill patients in our clinical trials may result in deaths or other adverse medical events due to other therapies or medications that such patients may be using. As described above, any of these events could prevent us from obtaining regulatory approval or achieving or maintaining market acceptance of our product candidates and impair our ability to commercialize our products. Because all of our product candidates are derived from our platform technologies, a clinical failure of one of our product candidates may also increase the actual or perceived likelihood that our other product candidates will experience similar failures.</w:t>
      </w:r>
    </w:p>
    <w:p>
      <w:pPr>
        <w:spacing w:after="0" w:line="207"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 or comparable foreign regulatory authorities’ approval processes and are commercialized. The lengthy approval process as well as the unpredictability of future clinical trial results may result in our failing to obtain regulatory approval to market our product candidates, which would significantly harm our business, financial condition, results of operations and prospects.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Even if we eventually complete clinical testing and receive approval of a biologics license application (BLA) or foreign marketing application for our product candidates, the FDA or the comparable foreign regulatory authorities may grant approval contingent on the performance of costly additional clinical trials, including post-market clinical trials. The FDA or the comparable foreign regulatory authorities also may approve a product candidate for a more limited indication or patient population than we originally request, and the FDA or comparable foreign regulatory authorities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adversely impact our business and prospects.</w:t>
      </w:r>
    </w:p>
    <w:p>
      <w:pPr>
        <w:spacing w:after="0" w:line="20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91"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b w:val="1"/>
          <w:bCs w:val="1"/>
          <w:i w:val="1"/>
          <w:iCs w:val="1"/>
          <w:color w:val="auto"/>
        </w:rPr>
        <w:t>Our product candidates are based on novel technologies, which make it difficult to predict the timing, results and cost of product candidate development and likelihood of obtaining regulatory approval.</w:t>
      </w:r>
    </w:p>
    <w:p>
      <w:pPr>
        <w:spacing w:after="0" w:line="68"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concentrated our research and development efforts on product candidates using our platform technologies, and our future success depends on the successful development of this approach. We have not yet succeeded and may not succeed in demonstrating efficacy and safety for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any product candidates based on our platform technologies in clinical trials or in obtaining marketing approval thereafter, and use of our platform technologies may not ever result in marketable products. We may also experience delays in developing a sustainable, reproducible and scalable manufacturing process or transferring that process to commercial partners or establishing our own commercial manufacturing capabilities, which may prevent us from completing our clinical trials or commercializing any products on a timely or profitable basis, if at all.</w:t>
      </w:r>
    </w:p>
    <w:p>
      <w:pPr>
        <w:spacing w:after="0" w:line="202"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Our product candidates are targeted to treat tumors that express specific antigens at certain levels, such as those that express moderate to high levels of HER2 or Nectin4. This requires diagnostic assays that may be subject to scrutiny by regulatory authorities. Commercial tests are available for HER2, but not currently for Nectin4. We may not be successful in developing diagnostic assays or securing the assays for use. If we are successful in securing a diagnostic assay for a specific antigen, it may be difficult to enroll patients with tumors that have the required level of antigen expression.</w:t>
      </w:r>
    </w:p>
    <w:p>
      <w:pPr>
        <w:spacing w:after="0" w:line="20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addition, the clinical trial requirements of the FDA, EMA and other regulatory agencies such as Australia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extensively studied pharmaceutical or other product candidates.</w:t>
      </w:r>
    </w:p>
    <w:p>
      <w:pPr>
        <w:spacing w:after="0" w:line="205" w:lineRule="exact"/>
        <w:rPr>
          <w:sz w:val="20"/>
          <w:szCs w:val="20"/>
          <w:color w:val="auto"/>
        </w:rPr>
      </w:pPr>
    </w:p>
    <w:p>
      <w:pPr>
        <w:jc w:val="both"/>
        <w:ind w:left="120" w:right="420" w:firstLine="551"/>
        <w:spacing w:after="0"/>
        <w:rPr>
          <w:sz w:val="20"/>
          <w:szCs w:val="20"/>
          <w:color w:val="auto"/>
        </w:rPr>
      </w:pPr>
      <w:r>
        <w:rPr>
          <w:rFonts w:ascii="Arial" w:cs="Arial" w:eastAsia="Arial" w:hAnsi="Arial"/>
          <w:sz w:val="18"/>
          <w:szCs w:val="18"/>
          <w:color w:val="auto"/>
        </w:rPr>
        <w:t>The immuno-oncology industry is also rapidly developing, and our competitors may introduce new technologies improving the immune response to cancer that render our technologies obsolete or less attractive. New technology could emerge at any point in the development cycle of our product candidates.</w:t>
      </w:r>
    </w:p>
    <w:p>
      <w:pPr>
        <w:spacing w:after="0" w:line="203"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The TLR field is also rapidly evolving and as competitors use or develop alternative TLR technologies, any failures of such technologies could adversely impact our programs. For example, companies are developing TLR7, TLR7/8 and TLR9 agonists, some of which are conjugated to monoclonal antibodies. Regardless of our belief that our approach to activating the innate immune system has advantages, issues encountered with other TLR programs will create a negative perception of or increase scrutiny for our technologies and product candidates.</w:t>
      </w:r>
    </w:p>
    <w:p>
      <w:pPr>
        <w:spacing w:after="0" w:line="288"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experience delays or difficulties enrolling in our clinical trials, our research and development efforts and business, financial condition and results of operations could be materially adversely affected.</w:t>
      </w:r>
    </w:p>
    <w:p>
      <w:pPr>
        <w:spacing w:after="0" w:line="8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Successful and timely completion of clinical trials will require that we enroll a sufficient number of patient candidates. These trials and other trials we conduct may be subject to delays as a result of patient enrollment taking longer than anticipated, patient withdrawal or adverse events. For example, we have an ongoing Phase 1/1b clinical trial for our lead product candidate, SBT6050, which could generate adverse events that may cause us to delay the trial or halt further development. As has been described with other immune agonists administered in the presence of ADA in preclinical species, anaphylaxis upon repeat intravenous dosing with SBT6050 was observed in animal models. While our product candidate in humans is administered by the subcutaneous route of administration, if similar adverse events were to manifest, that could adversely impact our enrollment.</w:t>
      </w:r>
    </w:p>
    <w:p>
      <w:pPr>
        <w:spacing w:after="0" w:line="20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clinical trials will likely compete with other clinical trials that are in the same therapeutic areas as our product candidates, and this competition will reduce the number and types of patients available to us, because some patients who might have opted to enroll in our trials may instead opt to enroll in a</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40"/>
        <w:spacing w:after="0"/>
        <w:rPr>
          <w:sz w:val="20"/>
          <w:szCs w:val="20"/>
          <w:color w:val="auto"/>
        </w:rPr>
      </w:pPr>
      <w:r>
        <w:rPr>
          <w:rFonts w:ascii="Arial" w:cs="Arial" w:eastAsia="Arial" w:hAnsi="Arial"/>
          <w:sz w:val="18"/>
          <w:szCs w:val="18"/>
          <w:color w:val="auto"/>
        </w:rPr>
        <w:t>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Patient enrollment depends on many factors, including the size and nature of the patient population, the severity of the disease under investigation, eligibility criteria for the trial, the proximity of patients to clinical sites, the design of the clinical protocol, the ability to obtain and maintain patient consents, the ability to recruit clinical trial investigators with the appropriate competencies and experience, the risk that patients enrolled in clinical trials will drop out of the trials before the administration of our product candidates or trial completion,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291"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b w:val="1"/>
          <w:bCs w:val="1"/>
          <w:i w:val="1"/>
          <w:i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90"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To date, we have only tested SBT6050 in a limited number of patients with cancer and these clinical trial participants have only been observed for a limited period of time after dosing.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For example, a significant risk observed with systemic administration of motolimod, an unconjugated TLR8 small molecule agonist, was the induction of significant injection site reactions (ISR), and cytokine-induced flu-like symptoms that prevented dose-escalation. Should we observe severe cases of ISR and cytokine release syndrome in our clinical trials or identify other undesirable side effects or other unexpected findings depending on their severity, our trials could be delayed or even stopped and our development programs may be halted entirely.</w:t>
      </w:r>
    </w:p>
    <w:p>
      <w:pPr>
        <w:spacing w:after="0" w:line="20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Our TLR8 agonist containing product candidates, including SBT6050, activate dendritic cells among other innate immune cells. As a result, significant anti-drug antibodies (ADA) could develop that neutralize the effects of SBT6050 by reducing exposure. The development of ADA could also trigger hypersensitivity reactions that manifest as serious adverse events. For example, as has been described with other immune agonists administered in the presence of ADA in preclinical species, anaphylaxis upon repeat intravenous dosing with SBT6050 was observed. As a result, we have modified our dosing to subcutaneous; however, if patients experience adverse events (AEs), including anaphylaxis, our trials could be delayed or stopped and our development programs may be halted entirely if this is observed during clinical development. Even if ADAs are not detected in the early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clinical trials, they may be detected after product launch and may significantly reduce the commercial potential or even result in the product being pulled from the market.</w:t>
      </w:r>
    </w:p>
    <w:p>
      <w:pPr>
        <w:spacing w:after="0" w:line="19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Even if our product candidates initially show promise in early clinical trials, the side effects of biological products are frequently only detectable after they are tested in larger, longer and more extensive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or after approval and are determined to be attributed to our product candidate, we may be required to develop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Product-related side effects could also result in potential product liability claims. Any of these occurrences may harm our business, financial condition and prospects significantly.</w:t>
      </w:r>
    </w:p>
    <w:p>
      <w:pPr>
        <w:spacing w:after="0" w:line="206"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In addition, if one or more of our product candidates receives marketing approval, and we or others later identify undesirable side effects or ADA caused by such products, a number of potentially significant negative consequences could result, including:</w:t>
      </w:r>
    </w:p>
    <w:p>
      <w:pPr>
        <w:spacing w:after="0" w:line="102" w:lineRule="exact"/>
        <w:rPr>
          <w:sz w:val="20"/>
          <w:szCs w:val="20"/>
          <w:color w:val="auto"/>
        </w:rPr>
      </w:pPr>
    </w:p>
    <w:p>
      <w:pPr>
        <w:ind w:left="880" w:right="60" w:hanging="224"/>
        <w:spacing w:after="0" w:line="24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suspend, withdraw or limit approvals of such product, or seek an injunction against its manufacture or distribution;</w:t>
      </w:r>
    </w:p>
    <w:p>
      <w:pPr>
        <w:spacing w:after="0" w:line="102" w:lineRule="exact"/>
        <w:rPr>
          <w:rFonts w:ascii="Arial" w:cs="Arial" w:eastAsia="Arial" w:hAnsi="Arial"/>
          <w:sz w:val="18"/>
          <w:szCs w:val="18"/>
          <w:color w:val="auto"/>
        </w:rPr>
      </w:pPr>
    </w:p>
    <w:p>
      <w:pPr>
        <w:ind w:left="880" w:right="22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or conduct additional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marketplace;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298"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may change as more patient data become available, and are subject to audit and verification procedures that could result in material changes in the final data.</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From time to time, we may publicly disclose preliminary, interim or topline data from our preclinical studies and clinical trials, which is based on a preliminary analysis of then-available data, and the results and related findings and conclusions are subject to change as patient enrollment and treatment continues and more patient data become available. Adverse differences between previous preliminary or interim data and future interim or final data could significantly harm our business prospects. We may also announce topline data following the completion of a preclinical study or clinical trial, which may be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w:t>
      </w:r>
    </w:p>
    <w:p>
      <w:pPr>
        <w:spacing w:after="0" w:line="205"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to be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29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trials to demonstrate the safety and efficacy of the product candidate for its intended indications. Clinical trials are expensive, time-consuming and uncertain as to outcome. We cannot guarantee that any clinical trials will be conducted as planned or completed on schedule, if at all. For example, we cannot begin our planned Phase 1 clinical trials for SBT6290, our Nectin4-targeted product candidate until we complete certain preclinical development and submit and receive authorization to proceed under INDs. We also dosed the first patient in a Phase 1/1b clinical trial for SBT6050 in July 2020 and cannot predict how our technology may work in solid tumor indications until we have completed dose-escalation and dose expansion. Finally, the COVID-19 pandemic has impacted clinical trials broadly, including our own with some sites pausing or slowing enrollment.</w:t>
      </w:r>
    </w:p>
    <w:p>
      <w:pPr>
        <w:spacing w:after="0" w:line="208"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A failure of one or more clinical trials can occur at any stage of testing. Events that may prevent successful or timely completion of clinical development include:</w:t>
      </w:r>
    </w:p>
    <w:p>
      <w:pPr>
        <w:spacing w:after="0" w:line="102" w:lineRule="exact"/>
        <w:rPr>
          <w:sz w:val="20"/>
          <w:szCs w:val="20"/>
          <w:color w:val="auto"/>
        </w:rPr>
      </w:pPr>
    </w:p>
    <w:p>
      <w:pPr>
        <w:ind w:left="88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 or implementation of any future potential collaborators’, clinical trials;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reaching agreement or failing to agree on acceptable terms with prospective CROs and clinical trial sites;</w:t>
      </w:r>
    </w:p>
    <w:p>
      <w:pPr>
        <w:spacing w:after="0" w:line="117"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opening sites, including delays in obtaining required approvals from institutional review boards (IRBs) and recruiting suitable patients to participate in our clinical trials;</w:t>
      </w:r>
    </w:p>
    <w:p>
      <w:pPr>
        <w:spacing w:after="0" w:line="102"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enrollment due to travel or quarantine policies, or other factors, related to COVID-19, other pandemics or other events outside our control;</w:t>
      </w:r>
    </w:p>
    <w:p>
      <w:pPr>
        <w:spacing w:after="0" w:line="102"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the trial protocol or applicable regulatory requirements, including the FDA’s good clinical practices (GCPs) or applicable regulatory requirements in other countries;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40" w:hanging="224"/>
        <w:spacing w:after="0" w:line="24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find deficiencies in the manufacturing processes or facilities of third-party manufacturers with which we or any of our potential future collaborators contract for clinical and commercial supplies;</w:t>
      </w:r>
    </w:p>
    <w:p>
      <w:pPr>
        <w:spacing w:after="0" w:line="102" w:lineRule="exact"/>
        <w:rPr>
          <w:rFonts w:ascii="Arial" w:cs="Arial" w:eastAsia="Arial" w:hAnsi="Arial"/>
          <w:sz w:val="18"/>
          <w:szCs w:val="18"/>
          <w:color w:val="auto"/>
        </w:rPr>
      </w:pPr>
    </w:p>
    <w:p>
      <w:pPr>
        <w:ind w:left="880" w:right="20" w:hanging="224"/>
        <w:spacing w:after="0" w:line="238"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treatment sites, including due to a facility manufacturing any of our product candidates or any of their components being ordered by the FDA or comparable foreign regulatory authorities to temporarily or permanently shut down due to violations of current good manufacturing practices (cGMP) regulations or other applicable requirements, or infections or cross-contaminations of product candidates in the manufacturing process;</w:t>
      </w:r>
    </w:p>
    <w:p>
      <w:pPr>
        <w:spacing w:after="0" w:line="107"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imposition of a clinical hold by IRBs or regulatory authorities as a result of a serious adverse event, concerns with a class of product candidates, after an inspection of our clinical trial operations or trial sites, or for other reasons;</w:t>
      </w:r>
    </w:p>
    <w:p>
      <w:pPr>
        <w:spacing w:after="0" w:line="102" w:lineRule="exact"/>
        <w:rPr>
          <w:rFonts w:ascii="Arial" w:cs="Arial" w:eastAsia="Arial" w:hAnsi="Arial"/>
          <w:sz w:val="18"/>
          <w:szCs w:val="18"/>
          <w:color w:val="auto"/>
        </w:rPr>
      </w:pPr>
    </w:p>
    <w:p>
      <w:pPr>
        <w:ind w:left="880" w:right="2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suspensions or terminations by us, the IRBs of the institutions at which such trials are being conducted, by the Safety Review Committee or Data Safety Monitoring Board, for such trial or by regulatory authorities due to a number of factors, including those described above;</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17"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 or the discovery of other safety issues;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lack of adequate funding;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1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For instance, the ongoing COVID-19 pandemic and the measures taken by the governmental authorities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drug product is shipped from overseas and the ongoing COVID-19 pandemic and measures taken by the governmental</w:t>
      </w:r>
    </w:p>
    <w:p>
      <w:pPr>
        <w:jc w:val="center"/>
        <w:ind w:right="-59"/>
        <w:spacing w:after="0"/>
        <w:rPr>
          <w:sz w:val="20"/>
          <w:szCs w:val="20"/>
          <w:color w:val="auto"/>
        </w:rPr>
      </w:pPr>
      <w:r>
        <w:rPr>
          <w:rFonts w:ascii="Arial" w:cs="Arial" w:eastAsia="Arial" w:hAnsi="Arial"/>
          <w:sz w:val="18"/>
          <w:szCs w:val="18"/>
          <w:color w:val="auto"/>
        </w:rPr>
        <w:t>authorities could disrupt the timing and therefore our clinical trials may not proceed or may be delayed, interrupted, or stopped as a result.</w:t>
      </w:r>
    </w:p>
    <w:p>
      <w:pPr>
        <w:spacing w:after="0" w:line="21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Any inability to timely and successfully complete preclinical and clinical development could result in additional costs to us or impair our ability to achieve regulatory and commercialization milestones.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comparable drugs to market before we do, which could impair our ability to successfully commercialize our product candidates and may harm our business, financial condition, results of operations and prospects.</w:t>
      </w:r>
    </w:p>
    <w:p>
      <w:pPr>
        <w:spacing w:after="0" w:line="205"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102"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be delayed in obtaining marketing approval, if at all;</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17" w:lineRule="exact"/>
        <w:rPr>
          <w:rFonts w:ascii="Arial" w:cs="Arial" w:eastAsia="Arial" w:hAnsi="Arial"/>
          <w:sz w:val="18"/>
          <w:szCs w:val="18"/>
          <w:color w:val="auto"/>
        </w:rPr>
      </w:pPr>
    </w:p>
    <w:p>
      <w:pPr>
        <w:ind w:left="880" w:right="1040" w:hanging="224"/>
        <w:spacing w:after="0" w:line="24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 marketing testing requirements;</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12"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 BLA to the FDA or other similar applications with other relevant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 The FDA has substantial discretion in the review and approval process and may disagree that our data support the claims we propose.</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our product candidates.</w:t>
      </w:r>
    </w:p>
    <w:p>
      <w:pPr>
        <w:spacing w:after="0" w:line="208"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Further, we, the FDA or an institutional review board may suspend our clinical trials at any time if it appears that we or our collaborators are failing to conduct a trial in accordance with regulatory requirements, including the FDA’s current GCP, regulations, that we are exposing participants to unacceptable health risks or if the FDA finds deficiencies in our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b w:val="1"/>
          <w:bCs w:val="1"/>
          <w:i w:val="1"/>
          <w:iCs w:val="1"/>
          <w:color w:val="auto"/>
        </w:rPr>
        <w:t>We may seek Breakthrough Therapy designation or Fast Track designation by the FDA for one or more of our product candidates, but we may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8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may seek Breakthrough Therapy or Fast Track designation for some of our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its BLA for review by FDA, rather than waiting until every section of the BLA is completed before the entire application can be reviewed. BLA review usually does not begin until the entire application has been submitted to the FDA.</w:t>
      </w:r>
    </w:p>
    <w:p>
      <w:pPr>
        <w:spacing w:after="0" w:line="207"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or biologics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205" w:lineRule="exact"/>
        <w:rPr>
          <w:sz w:val="20"/>
          <w:szCs w:val="20"/>
          <w:color w:val="auto"/>
        </w:rPr>
      </w:pPr>
    </w:p>
    <w:p>
      <w:pPr>
        <w:ind w:left="120" w:right="280" w:firstLine="551"/>
        <w:spacing w:after="0" w:line="237" w:lineRule="auto"/>
        <w:rPr>
          <w:sz w:val="20"/>
          <w:szCs w:val="20"/>
          <w:color w:val="auto"/>
        </w:rPr>
      </w:pPr>
      <w:r>
        <w:rPr>
          <w:rFonts w:ascii="Arial" w:cs="Arial" w:eastAsia="Arial" w:hAnsi="Arial"/>
          <w:sz w:val="18"/>
          <w:szCs w:val="18"/>
          <w:color w:val="auto"/>
        </w:rPr>
        <w:t>The FDA has broad discretion whether or not to grant these designations, so even if we believe a particular product candidate is eligible, we cannot assure you that the FDA would decide to grant it. Even if we have obtained Fast Track Designation and/or Breakthrough Therapy Designation for one or more of our product candidates, we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spacing w:after="0" w:line="291"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i w:val="1"/>
          <w:iCs w:val="1"/>
          <w:color w:val="auto"/>
        </w:rPr>
        <w:t>If we are required by the FDA to obtain approval of a companion diagnostic test in connection with approval of any of our product candidates, and we do not obtain or face delays in obtaining FDA approval of a diagnostic device, we will not be able to commercialize such product candidate and our ability to generate revenue will be materially impaired.</w:t>
      </w:r>
    </w:p>
    <w:p>
      <w:pPr>
        <w:spacing w:after="0" w:line="65"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If safe and effective use of any of our product candidates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that is not otherwise commercially available, then the FDA generally will require approval or clearance of that diagnostic, known as a companion diagnostic, at the same time that the FDA approves our product candidates, if at all. Commercially available diagnostics are available for HER2, but not currently available for Nectin4. As an existing companion diagnostic does not currently exist for Nectin4, unless one is developed and approved, we may need to develop and obtain approval for a companion diagnostic for the SBT6290 program. The process of obtaining or creating such diagnostic is time consuming and costly.</w:t>
      </w:r>
    </w:p>
    <w:p>
      <w:pPr>
        <w:spacing w:after="0" w:line="202"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Companion diagnostics are developed in conjunction with clinical programs for the associated product and are subject to regulation as medical devices by the FDA and comparable regulatory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authorities. The approval of a companion diagnostic as part of the therapeutic product’s labeling limits the use of the therapeutic product to only those patients who express the specific genetic alteration that the companion diagnostic was developed to detect. If the FDA or a comparable regulatory authority requires approval of a companion diagnostic for any of our product candidates, whether before or after it obtains marketing approval, we, and/or future collaborators, may encounter difficulties in developing and obtaining approval for such product candidate. Any delay or failure by us or third-party collaborators to develop or obtain regulatory approval of a companion diagnostic could delay or prevent approval or continued marketing of such product candidate.</w:t>
      </w:r>
    </w:p>
    <w:p>
      <w:pPr>
        <w:spacing w:after="0" w:line="205" w:lineRule="exact"/>
        <w:rPr>
          <w:sz w:val="20"/>
          <w:szCs w:val="20"/>
          <w:color w:val="auto"/>
        </w:rPr>
      </w:pPr>
    </w:p>
    <w:p>
      <w:pPr>
        <w:jc w:val="both"/>
        <w:ind w:left="120" w:right="180" w:firstLine="551"/>
        <w:spacing w:after="0" w:line="261" w:lineRule="auto"/>
        <w:rPr>
          <w:sz w:val="20"/>
          <w:szCs w:val="20"/>
          <w:color w:val="auto"/>
        </w:rPr>
      </w:pPr>
      <w:r>
        <w:rPr>
          <w:rFonts w:ascii="Arial" w:cs="Arial" w:eastAsia="Arial" w:hAnsi="Arial"/>
          <w:sz w:val="17"/>
          <w:szCs w:val="17"/>
          <w:color w:val="auto"/>
        </w:rPr>
        <w:t>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 if approved, on a timely or profitable basis, if at all.</w:t>
      </w:r>
    </w:p>
    <w:p>
      <w:pPr>
        <w:spacing w:after="0" w:line="272"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they will remain subject to ongoing regulatory oversight.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8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Even if we obtain regulatory approval for any of our product candidates, they will be subject to extensive and ongoing regulatory requirements for manufacturing, labeling, packaging, distribution, adverse event reporting, storage, advertising, promotion, sampling and record-keeping. These requirements include submissions of safety and other post-marketing information and reports, registration, as well as continued compliance with cGMP regulations, as well as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Such regulatory requirements may differ from country to country depending on where we have received regulatory approval.</w:t>
      </w:r>
    </w:p>
    <w:p>
      <w:pPr>
        <w:spacing w:after="0" w:line="20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Moreover, if there are changes in the application of legislation or regulatory policies, or if problems are discovered with a product or our manufacture of a product, or if we or one of our distributors, licensees or co-marketers fails to comply with regulatory requirements, the regulators could take various actions. These include:</w:t>
      </w:r>
    </w:p>
    <w:p>
      <w:pPr>
        <w:spacing w:after="0" w:line="113" w:lineRule="exact"/>
        <w:rPr>
          <w:sz w:val="20"/>
          <w:szCs w:val="20"/>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issuing warning or untitled letters;</w:t>
      </w:r>
    </w:p>
    <w:p>
      <w:pPr>
        <w:spacing w:after="0" w:line="117"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mandating modifications to promotional materials or require us to provide corrective information to healthcare practitioners, or require other restrictions on the labeling or marketing of such products;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seeking an injunction or imposing civil or criminal penalties or monetary fines;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product manufacturing;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seizure or detention of products, refusal to permit the import or export of products or request that we initiate a product recall;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modification or withdrawal of our marketing authorizations;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applications submitted by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 or</w:t>
      </w:r>
    </w:p>
    <w:p>
      <w:pPr>
        <w:spacing w:after="0" w:line="117" w:lineRule="exact"/>
        <w:rPr>
          <w:rFonts w:ascii="Arial" w:cs="Arial" w:eastAsia="Arial" w:hAnsi="Arial"/>
          <w:sz w:val="18"/>
          <w:szCs w:val="18"/>
          <w:color w:val="auto"/>
        </w:rPr>
      </w:pPr>
    </w:p>
    <w:p>
      <w:pPr>
        <w:ind w:left="880" w:right="54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requiring us to conduct additional clinical trials, change our product labeling or submit additional applications for marketing authorization.</w:t>
      </w:r>
    </w:p>
    <w:p>
      <w:pPr>
        <w:spacing w:after="0" w:line="19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Moreover, the FDA and other regulatory authorities strictly regulate the promotional claims that may be made about biologic products. In particular, a product may not be promoted for uses that are not approved by the FDA as reflected in the product’s approved labeling.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208"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spacing w:after="0" w:line="203"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harm our business, financial condition, results of operations and prospects.</w:t>
      </w:r>
    </w:p>
    <w:p>
      <w:pPr>
        <w:spacing w:after="0" w:line="283" w:lineRule="exact"/>
        <w:rPr>
          <w:sz w:val="20"/>
          <w:szCs w:val="20"/>
          <w:color w:val="auto"/>
        </w:rPr>
      </w:pPr>
    </w:p>
    <w:p>
      <w:pPr>
        <w:jc w:val="both"/>
        <w:ind w:left="120" w:right="620"/>
        <w:spacing w:after="0" w:line="253"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83"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is no guarantee that our product candidates, even if approved as a second or subsequent line of therapy, would be approved for an earlier line of therapy, and, prior to any such approvals, we may have to conduct additional clinical trials.</w:t>
      </w:r>
    </w:p>
    <w:p>
      <w:pPr>
        <w:spacing w:after="0" w:line="19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projections of both the number of people who have HER2 expression,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who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289" w:lineRule="exact"/>
        <w:rPr>
          <w:sz w:val="20"/>
          <w:szCs w:val="20"/>
          <w:color w:val="auto"/>
        </w:rPr>
      </w:pPr>
    </w:p>
    <w:p>
      <w:pPr>
        <w:jc w:val="both"/>
        <w:ind w:left="120" w:right="320"/>
        <w:spacing w:after="0" w:line="275"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or approved or commercialized in a timely manner or at all, which could negatively impact our business.</w:t>
      </w:r>
    </w:p>
    <w:p>
      <w:pPr>
        <w:spacing w:after="0" w:line="6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207"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Separately, in response to the global COVID-19 pandemic, in March 2020 the FDA announced its intention to postpone most foreign inspections of manufacturing facilities and products, and to temporarily postpone routine surveillance inspections of domestic manufacturing facilities. Subsequently, in July 2020 the FDA resumed certain on-site inspections of domestic manufacturing facilities on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92"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8"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Because we have limited financial and managerial resources, we must prioritize our research programs and will need to focus our discovery and development on select product candidates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2" w:lineRule="auto"/>
        <w:rPr>
          <w:sz w:val="20"/>
          <w:szCs w:val="20"/>
          <w:color w:val="auto"/>
        </w:rPr>
      </w:pPr>
      <w:r>
        <w:rPr>
          <w:rFonts w:ascii="Arial" w:cs="Arial" w:eastAsia="Arial" w:hAnsi="Arial"/>
          <w:sz w:val="17"/>
          <w:szCs w:val="17"/>
          <w:color w:val="auto"/>
        </w:rPr>
        <w:t>indications. Correctly prioritizing our research and development activities is particularly important for us due to the breadth of potential product candidates and indications that we believe could be pursued using our platform technologies.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in the future.</w:t>
      </w:r>
    </w:p>
    <w:p>
      <w:pPr>
        <w:spacing w:after="0" w:line="12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Our research programs may initially show promise in identifying potential product candidates, yet fail to yield product candidates for clinical development for a number of reasons, including:</w:t>
      </w:r>
    </w:p>
    <w:p>
      <w:pPr>
        <w:spacing w:after="0" w:line="102"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design such product candidates with the properties that we desire; or</w:t>
      </w:r>
    </w:p>
    <w:p>
      <w:pPr>
        <w:spacing w:after="0" w:line="117"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products that will receive marketing approval and achieve market acceptance.</w:t>
      </w:r>
    </w:p>
    <w:p>
      <w:pPr>
        <w:spacing w:after="0" w:line="197" w:lineRule="exact"/>
        <w:rPr>
          <w:sz w:val="20"/>
          <w:szCs w:val="20"/>
          <w:color w:val="auto"/>
        </w:rPr>
      </w:pPr>
    </w:p>
    <w:p>
      <w:pPr>
        <w:jc w:val="both"/>
        <w:ind w:left="120" w:right="400" w:firstLine="551"/>
        <w:spacing w:after="0"/>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If we are unable to identify suitable additional candidates for preclinical and clinical development, our opportunities to successfully develop and commercialize therapeutic products will be limited.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Manufacturing, Commercialization and Reliance on Third Parties</w:t>
      </w:r>
    </w:p>
    <w:p>
      <w:pPr>
        <w:spacing w:after="0" w:line="212"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b w:val="1"/>
          <w:bCs w:val="1"/>
          <w:i w:val="1"/>
          <w:iCs w:val="1"/>
          <w:color w:val="auto"/>
        </w:rPr>
        <w:t>We rely on third parties to conduct, supervise, and monitor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8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do not have the ability to conduct all aspects of our preclinical testing or clinical trials ourselves. As a result, we are and expect to remain dependent on third parties to conduct our preclinical studies, including GLP toxicology studies and ongoing Phase 1/1b clinical trial and any future clinical trials of our product candidates. Specifically, CROs that manage preclinical studies, GLP toxicology studies and our clinical studies as well as clinical investigators, and consultants play a significant role in the conduct of our preclinical studies and clinical trials and the subsequent collection and analysis of data. The timing of the initiation and completion of these studies and trials will therefore be partially controlled by such third parties and may result in delays to our development programs. Nevertheless, we are responsible for ensuring that each of our preclinical studies and clinical trials is conducted in accordance with the applicable protocol, legal requirements, and scientific standards, and our reliance on the CROs and other third parties does not relieve us of our regulatory responsibilities. We and our CROs are required to comply with GLP and GCP requirements, which are regulations and guidelines enforced by the FDA, the Competent Authorities of the Member States of the European Economic Area, and comparable foreign regulatory authorities for all of our product candidates in clinical development. Regulatory authorities enforce these GLP and GCP requirements through</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0"/>
        <w:spacing w:after="0" w:line="237" w:lineRule="auto"/>
        <w:rPr>
          <w:sz w:val="20"/>
          <w:szCs w:val="20"/>
          <w:color w:val="auto"/>
        </w:rPr>
      </w:pPr>
      <w:r>
        <w:rPr>
          <w:rFonts w:ascii="Arial" w:cs="Arial" w:eastAsia="Arial" w:hAnsi="Arial"/>
          <w:sz w:val="18"/>
          <w:szCs w:val="18"/>
          <w:color w:val="auto"/>
        </w:rPr>
        <w:t>periodic inspections of preclinical study sites, trial sponsors, clinical trial investigators and clinical trial sites. If we or any of our CROs or clinical trial sites fail to comply with applicable GLP or GCP requirements, the data generated in our preclinical studies and clinical trials may be deemed unreliable, and the FDA or comparable foreign regulatory authorities may require us to perform additional preclinical or clinical trials before approving our marketing applications. In addition, our clinical trials must be conducted with product produced under cGMP regulations. Our failure to comply with these regulations may require us to stop and/or repeat clinical trials, which would delay the marketing approval process.</w:t>
      </w:r>
    </w:p>
    <w:p>
      <w:pPr>
        <w:spacing w:after="0" w:line="205"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There is no guarantee that any such CROs, clinical trial investigators or other third parties on which we rely will devote adequate time and resources to our development activities or perform as contractually required. These risks are heightened as a result of the efforts of government agencies and the CROs themselves to limit the spread of COVID-19, including quarantines and shelter-in-place orders. If any of these third parties fail to meet expected deadlines, adhere to our clinical protocols or meet regulatory requirements, otherwise performs in a substandard manner, or terminates its engagement with us, the timelines for our development programs may be extended or delayed or our development activities may be suspended or terminated. If any of our clinical trial sites terminates for any reason, we may experience the loss of follow-up information on subjects enrolled in such clinical trials unless we are able to transfer those subjects to another qualified clinical trial site, which may be difficult or impossible. In addition, clinical trial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any comparable foreign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marketing application we submit by the FDA or any comparable foreign regulatory authority. Any such delay or rejection could prevent us from commercializing our product candidates.</w:t>
      </w:r>
    </w:p>
    <w:p>
      <w:pPr>
        <w:spacing w:after="0" w:line="21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products.</w:t>
      </w:r>
    </w:p>
    <w:p>
      <w:pPr>
        <w:spacing w:after="0" w:line="29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We contract with third parties for the manufacturing and supply of certain of our product candidates for use in preclinical testing and clinical trials, which supply may become limited or interrupted or may not be of satisfactory quality and quantity.</w:t>
      </w:r>
    </w:p>
    <w:p>
      <w:pPr>
        <w:spacing w:after="0" w:line="6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do not have any manufacturing facilities. We produce in our laboratory relatively small quantities of product for evaluation in our research programs. We rely on third parties for the manufacture of a portion of our product candidates for preclinical testing and all of our product candidates for clinical testing and we will continue to rely on such third parties for commercial manufacture if any of our product candidates are approved. We currently have limited manufacturing arrangements and expect that each of our product candidates, including SBT6050, will only be covered by single source suppliers for the foreseeable future. This reliance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203" w:lineRule="exact"/>
        <w:rPr>
          <w:sz w:val="20"/>
          <w:szCs w:val="20"/>
          <w:color w:val="auto"/>
        </w:rPr>
      </w:pPr>
    </w:p>
    <w:p>
      <w:pPr>
        <w:ind w:left="120" w:right="560" w:firstLine="551"/>
        <w:spacing w:after="0" w:line="246" w:lineRule="auto"/>
        <w:rPr>
          <w:sz w:val="20"/>
          <w:szCs w:val="20"/>
          <w:color w:val="auto"/>
        </w:rPr>
      </w:pPr>
      <w:r>
        <w:rPr>
          <w:rFonts w:ascii="Arial" w:cs="Arial" w:eastAsia="Arial" w:hAnsi="Arial"/>
          <w:sz w:val="18"/>
          <w:szCs w:val="18"/>
          <w:color w:val="auto"/>
        </w:rPr>
        <w:t>Furthermore, all entities involved in the preparation of therapeutics for clinical trials or commercial sale, including our existing contract manufacturers for our product candidates, are subject to extensive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 regulations and cGMP regulations enforced by the FDA through its facilities inspection program. Comparable foreign regulatory authorities may require compliance with similar requirements. The facilities and quality systems of our third-party contract manufacturers must pass a pre-approval inspection for compliance with the applicable regulations as a condition of marketing approval of our product candidates. We do not control the manufacturing activities of, and are completely dependent on, our contract manufacturers for compliance with cGMP regulations.</w:t>
      </w:r>
    </w:p>
    <w:p>
      <w:pPr>
        <w:spacing w:after="0" w:line="205"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the COVID-19 pandemic,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213"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Our or a third-party’s failure to execute on our manufacturing requirements, do so on commercially reasonable terms and timelines and comply with cGMP requirements could adversely affect our business in a number of ways, including:</w:t>
      </w:r>
    </w:p>
    <w:p>
      <w:pPr>
        <w:spacing w:after="0" w:line="102"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meet our product specifications and quality requirements consistently;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our product candidates under development;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 candidates, if at all;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the cooperation of future collaborators;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0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product candidates, an inability to meet commercial demands for our product or any other future product candidates.</w:t>
      </w:r>
    </w:p>
    <w:p>
      <w:pPr>
        <w:spacing w:after="0" w:line="283"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b w:val="1"/>
          <w:bCs w:val="1"/>
          <w:i w:val="1"/>
          <w:iCs w:val="1"/>
          <w:color w:val="auto"/>
        </w:rPr>
        <w:t>Manufacturing antibody drug conjugate products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prevented.</w:t>
      </w:r>
    </w:p>
    <w:p>
      <w:pPr>
        <w:spacing w:after="0" w:line="8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Manufacturing antibody drug conjugate products is complex and require the use of innovative technologies to handle living cells. Manufacturing these products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manufacturing facilities,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significant lead times and timely availability of raw materials. Even if we obtain marketing approval for any of our product candidates, there is no assurance that we or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208"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Due to the early nature of our product candidates, the drug product may not be stable over time causing changes to be made to the manufacturing or storage process which may result in delays or stopping the development of the product candidate.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may result in additional costs or delays.</w:t>
      </w:r>
    </w:p>
    <w:p>
      <w:pPr>
        <w:spacing w:after="0" w:line="12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As product candidates progress through preclinical to late-stage clinical trials to marketing approval and commercialization, it is common that various aspects of the development program, such as manufacturing methods, are altered along the way in an effort to optimize yield, manufacturing batch size, change drug product dosage form,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Any approved products may fail to achieve the degree of market acceptance by physicians, patients, hospitals, cancer treatment centers, healthcare payors and others in the medical community necessary for commercial success.</w:t>
      </w:r>
    </w:p>
    <w:p>
      <w:pPr>
        <w:spacing w:after="0" w:line="6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healthcare payors and others in the medical community. For example, current cancer treatments like chemotherapy and radiation therapy are well established in the medical community, and physicians may continue to rely on these treatments. Most of our product candidates target mechanisms for which there are limited or no currently approved products, which may result in slower adoption by physicians, patients and payors. If our product candidates do not achieve an adequate level of acceptance, we may not generate significant product revenue and we may not become profitable. The degree of market acceptance of our product candidates, if approved for commercial sale, will depend on a number of factors, including:</w:t>
      </w:r>
    </w:p>
    <w:p>
      <w:pPr>
        <w:spacing w:after="0" w:line="108" w:lineRule="exact"/>
        <w:rPr>
          <w:sz w:val="20"/>
          <w:szCs w:val="20"/>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98" w:lineRule="exact"/>
        <w:rPr>
          <w:sz w:val="20"/>
          <w:szCs w:val="20"/>
          <w:color w:val="auto"/>
        </w:rPr>
      </w:pPr>
    </w:p>
    <w:p>
      <w:pPr>
        <w:ind w:left="120"/>
        <w:spacing w:after="0" w:line="301" w:lineRule="auto"/>
        <w:rPr>
          <w:sz w:val="20"/>
          <w:szCs w:val="20"/>
          <w:color w:val="auto"/>
        </w:rPr>
      </w:pPr>
      <w:r>
        <w:rPr>
          <w:rFonts w:ascii="Arial" w:cs="Arial" w:eastAsia="Arial" w:hAnsi="Arial"/>
          <w:sz w:val="17"/>
          <w:szCs w:val="17"/>
          <w:b w:val="1"/>
          <w:bCs w:val="1"/>
          <w:i w:val="1"/>
          <w:iCs w:val="1"/>
          <w:color w:val="auto"/>
        </w:rPr>
        <w:t>We may not be able to successfully commercialize our product candidates, if approved, due to unfavorable pricing regulations or third-party coverage and reimbursement policies, which could make it difficult for us to sell our product candidates profitably.</w:t>
      </w:r>
    </w:p>
    <w:p>
      <w:pPr>
        <w:spacing w:after="0" w:line="4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time-consuming and costly process, with uncertain results, that could require us to provide supporting scientific, clinical and cost effectiveness data for the use of our products to the payor. There may be significant delays in obtaining such coverage and reimbursement for newly approved products, and coverage may not be available, or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204"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there is no uniform policy among third-party payors for coverage and reimbursement. Third-party payors often rely upon Medicare coverage policy and payment limitations in setting reimbursement policies, but also have their own methods and approval process apart from Medicare coverage and reimbursement determinations. Therefore, one third-party payor’s determination to provide coverage for a product does not assure that other payors will also provide coverage for the product.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Coverage and reimbursement by a third-party payor may depend upon a number of factors, including the third-party payor’s determination that use of a product is:</w:t>
      </w:r>
    </w:p>
    <w:p>
      <w:pPr>
        <w:spacing w:after="0" w:line="102" w:lineRule="exact"/>
        <w:rPr>
          <w:sz w:val="20"/>
          <w:szCs w:val="20"/>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cannot be sure that reimbursement will be available for any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05"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Reimbursement may impact the demand for, and the price of, any product for which we obtain marketing approval. Even if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are critical to a new product’s acceptance. Coverage decisions may depend upon clinical and economic standards that disfavor new products when more established or lower cost therapeutic alternatives are already available or subsequently become available.</w:t>
      </w:r>
    </w:p>
    <w:p>
      <w:pPr>
        <w:spacing w:after="0" w:line="20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 care providers, including the Medicare Physician Fee Schedule and Hospital Outpatient Prospective Payment System, which may result in reduced Medicare payments.</w:t>
      </w:r>
    </w:p>
    <w:p>
      <w:pPr>
        <w:spacing w:after="0" w:line="205"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205" w:lineRule="exact"/>
        <w:rPr>
          <w:sz w:val="20"/>
          <w:szCs w:val="20"/>
          <w:color w:val="auto"/>
        </w:rPr>
      </w:pPr>
    </w:p>
    <w:p>
      <w:pPr>
        <w:ind w:left="120" w:right="540" w:firstLine="551"/>
        <w:spacing w:after="0" w:line="246" w:lineRule="auto"/>
        <w:rPr>
          <w:sz w:val="20"/>
          <w:szCs w:val="20"/>
          <w:color w:val="auto"/>
        </w:rPr>
      </w:pPr>
      <w:r>
        <w:rPr>
          <w:rFonts w:ascii="Arial" w:cs="Arial" w:eastAsia="Arial" w:hAnsi="Arial"/>
          <w:sz w:val="18"/>
          <w:szCs w:val="18"/>
          <w:color w:val="auto"/>
        </w:rPr>
        <w:t>Additionally, we or our collaborators may develop companion diagnostic tests for use with our product candidates. We, or our collaborators, will be required to obtain coverage and reimbursement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for these tests separate and apart from the coverage and reimbursement we may seek for our product candidates. While we have not yet developed any companion diagnostic tests for our product candidates, if we do, there is significant uncertainty regarding our ability to obtain coverage and adequate reimbursement for the same reasons applicable to our product candidates.</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Outside of the United States,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294" w:lineRule="exact"/>
        <w:rPr>
          <w:sz w:val="20"/>
          <w:szCs w:val="20"/>
          <w:color w:val="auto"/>
        </w:rPr>
      </w:pPr>
    </w:p>
    <w:p>
      <w:pPr>
        <w:ind w:left="120" w:right="1000"/>
        <w:spacing w:after="0" w:line="271"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2010 (the Affordable Care Act) signed into law on March 23, 2010,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207"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court decisions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03"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If any approved products are subject to biosimilar competition sooner than we expect, we will face significant pricing pressure and our commercial opportunity will be limited.</w:t>
      </w:r>
    </w:p>
    <w:p>
      <w:pPr>
        <w:spacing w:after="0" w:line="28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If the market opportunities for any of our product candidates are smaller than we believe they are, our revenue may be adversely affected, and our business may suffer.</w:t>
      </w:r>
    </w:p>
    <w:p>
      <w:pPr>
        <w:spacing w:after="0" w:line="68"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We are focused initially on the development of treatments for cancer. Our projections of addressable patient populations that have the potential to benefit from treatment with our product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20"/>
        <w:spacing w:after="0" w:line="246" w:lineRule="auto"/>
        <w:rPr>
          <w:sz w:val="20"/>
          <w:szCs w:val="20"/>
          <w:color w:val="auto"/>
        </w:rPr>
      </w:pPr>
      <w:r>
        <w:rPr>
          <w:rFonts w:ascii="Arial" w:cs="Arial" w:eastAsia="Arial" w:hAnsi="Arial"/>
          <w:sz w:val="18"/>
          <w:szCs w:val="18"/>
          <w:color w:val="auto"/>
        </w:rPr>
        <w:t>candidates are based on estimates. If any of our estimates are inaccurate, the market opportunities for any of our product candidates could be significantly diminished and have an adverse material impact on our business.</w:t>
      </w:r>
    </w:p>
    <w:p>
      <w:pPr>
        <w:spacing w:after="0" w:line="283" w:lineRule="exact"/>
        <w:rPr>
          <w:sz w:val="20"/>
          <w:szCs w:val="20"/>
          <w:color w:val="auto"/>
        </w:rPr>
      </w:pPr>
    </w:p>
    <w:p>
      <w:pPr>
        <w:ind w:left="120" w:right="700"/>
        <w:spacing w:after="0" w:line="271"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Because we rely on third parties to research and develop and to manufacture our product candidates, we must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20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will likely expect to be granted rights to publish data arising out of such collaboration and any joint research and development programs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94"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establish sales and marketing capabilities or enter into agreements with third parties to sell and market our product candidates, we will be unable to successfully commercialize our product candidates if and when they are approved.</w:t>
      </w:r>
    </w:p>
    <w:p>
      <w:pPr>
        <w:spacing w:after="0" w:line="8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In the future, we may choose to build a focused sales and marketing infrastructure to sell, or participate in sales activities with our collaborators for, some of our product candidates if and when they are approved.</w:t>
      </w:r>
    </w:p>
    <w:p>
      <w:pPr>
        <w:spacing w:after="0" w:line="20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future products on our own include:</w:t>
      </w:r>
    </w:p>
    <w:p>
      <w:pPr>
        <w:spacing w:after="0" w:line="117"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880" w:right="380" w:hanging="224"/>
        <w:spacing w:after="0" w:line="24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benefits of prescribing any future products;</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portfolios;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If we enter into arrangements with third parties to perform sales, marketing and distribution services, our product revenue or the profitability of these product revenue to us are likely to be lower than if we were to market and sell any products that we develop ourselves. In addition, we may not be successful in entering into arrangements with third parties to sell and market our product candidates or may be unable to do so on terms that are favorable to us. In entering into third-party marketing or distribution arrangements, any revenue we receive will depend upon the efforts of the third parties and we cannot assure you that such third parties will establish adequate sales and distribution capabilities or devote the necessary resources and attention to sell and market any future products effectively. If we do not establish sales and marketing capabilities successfully, either on our own or in collaboration with third parties, we will not be successful in commercializing our product candidates.</w:t>
      </w:r>
    </w:p>
    <w:p>
      <w:pPr>
        <w:spacing w:after="0" w:line="294" w:lineRule="exact"/>
        <w:rPr>
          <w:sz w:val="20"/>
          <w:szCs w:val="20"/>
          <w:color w:val="auto"/>
        </w:rPr>
      </w:pPr>
    </w:p>
    <w:p>
      <w:pPr>
        <w:ind w:left="120" w:right="760"/>
        <w:spacing w:after="0" w:line="271"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In-Licenses and Other Strategic Agreements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realize the benefits of any acquisitions, in-license or strategic alliances that we enter into.</w:t>
      </w:r>
    </w:p>
    <w:p>
      <w:pPr>
        <w:spacing w:after="0" w:line="12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have entered into in-license agreements with multiple licensors and in the future may seek and form strategic alliances, create joint ventures or collaborations, or enter into acquisitions or additional licensing arrangements with third parties that we believe will complement or augment our existing technologies and product candidates.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in-license agreements or strategic partnerships, we may not be able to realize the benefit of such transactions if we are unable to successfully integrate them with our existing operations and company culture, or if there are materially adverse impacts on our or the counterparty’s operations resulting from COVID-19, which could delay our timelines or otherwise adversely affect our business. We also cannot be certain that, following a strategic transaction or license, we will achieve the revenue or specific net income that justifies such transaction or such other benefits that led us to enter into the arrangement.</w:t>
      </w:r>
    </w:p>
    <w:p>
      <w:pPr>
        <w:spacing w:after="0" w:line="290"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i w:val="1"/>
          <w:iCs w:val="1"/>
          <w:color w:val="auto"/>
        </w:rPr>
        <w:t>We may wish to form collaborations in the future with respect to our product candidates, but may not be able to do so or to realize the potential benefits of such transactions, which may cause us to alter or delay our development and commercialization plans.</w:t>
      </w:r>
    </w:p>
    <w:p>
      <w:pPr>
        <w:spacing w:after="0" w:line="8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development and potential commercialization of our product candidates will require substantial additional capital to fund expenses. We may, in the future, decide to collaborate with other biopharmaceutical companies for the development and potential commercialization of those product candidates, including in territories outside the United States or for certain indications.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third-party for development and commercialization of a product candidate, we can expect to relinquish some or all of the control over the future success of that product candidate to the third-party.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do not have sufficient funds, we may not be able to further develop our product candidates or bring them to market and generate product revenue.</w:t>
      </w:r>
    </w:p>
    <w:p>
      <w:pPr>
        <w:spacing w:after="0" w:line="197"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Our product candidates may also require specific components to work effectively and efficiently, and rights to those components may be held by others. We may be unable to in-license any compositions, methods of use, processes or other third party intellectual property rights from third parties that we identify. We may fail to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Industry and Business Operations</w:t>
      </w:r>
    </w:p>
    <w:p>
      <w:pPr>
        <w:spacing w:after="0" w:line="212"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b w:val="1"/>
          <w:bCs w:val="1"/>
          <w:i w:val="1"/>
          <w:iCs w:val="1"/>
          <w:color w:val="auto"/>
        </w:rPr>
        <w:t>The COVID-19 pandemic could continue to adversely impact our business, including our ongoing and planned clinical trials, supply chain and business development activities.</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In December 2019, COVID-19, a novel strain of coronavirus, was first reported in Wuhan, China and has since become a global pandemic. The President of the United States declared the COVID-19 pandemic a national emergency and many states and municipalities in the Unites States have announced aggressive actions to reduce the spread of the disease, including limiting non-essential gatherings of people, ceasing all non-essential travel, ordering certain businesses and government agencies to cease non-essential operations at physical locations and issuing “shelter-in-place” orders which direct individuals to shelter at their places of residence (subject to limited exceptions). For example, on March 23, 2020, the Office of the Governor issued Proclamation 20-25, ordering all individuals in the State of Washington to stay at their place of residence except as needed to maintain continuity of operations of the federal critical infrastructure sectors. As a result of the Washington state order, almost all of our non-lab based employees are currently telecommuting, which has impacted certain of our operations and may continue to do so over the long term. We may experience further limitations on employee resources in the future, including because of sickness of employees or their families. The effects of government actions and our own policies and those of third parties to reduce the spread of COVID-19 may negatively impact productivity and slow down or delay our ongoing and future clinical trials, preclinical studies and research and development activities, and may cause disruptions to our supply chain and impair our ability to execute our business development strategy. In the event that government authorities were to enhance current restrictions, our employees who currently are not telecommuting may no longer be able to access our facilities, and our operations may be further limited or curtailed.</w:t>
      </w:r>
    </w:p>
    <w:p>
      <w:pPr>
        <w:spacing w:after="0" w:line="213"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As COVID-19 continues to spread, we may experience ongoing disruptions that could severely impact our business, preclinical studies and clinical trials, including:</w:t>
      </w:r>
    </w:p>
    <w:p>
      <w:pPr>
        <w:spacing w:after="0" w:line="102" w:lineRule="exact"/>
        <w:rPr>
          <w:sz w:val="20"/>
          <w:szCs w:val="20"/>
          <w:color w:val="auto"/>
        </w:rPr>
      </w:pPr>
    </w:p>
    <w:p>
      <w:pPr>
        <w:ind w:left="880" w:right="500" w:hanging="224"/>
        <w:spacing w:after="0" w:line="24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or delays in our operations, which may impact our ability to conduct and produce preclinical results required for submission of an IND;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00" w:hanging="224"/>
        <w:spacing w:after="0" w:line="24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102" w:lineRule="exact"/>
        <w:rPr>
          <w:rFonts w:ascii="Arial" w:cs="Arial" w:eastAsia="Arial" w:hAnsi="Arial"/>
          <w:sz w:val="18"/>
          <w:szCs w:val="18"/>
          <w:color w:val="auto"/>
        </w:rPr>
      </w:pPr>
    </w:p>
    <w:p>
      <w:pPr>
        <w:ind w:left="880" w:right="500" w:hanging="224"/>
        <w:spacing w:after="0" w:line="24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02" w:lineRule="exact"/>
        <w:rPr>
          <w:rFonts w:ascii="Arial" w:cs="Arial" w:eastAsia="Arial" w:hAnsi="Arial"/>
          <w:sz w:val="18"/>
          <w:szCs w:val="18"/>
          <w:color w:val="auto"/>
        </w:rPr>
      </w:pPr>
    </w:p>
    <w:p>
      <w:pPr>
        <w:ind w:left="880" w:right="44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108" w:lineRule="exact"/>
        <w:rPr>
          <w:rFonts w:ascii="Arial" w:cs="Arial" w:eastAsia="Arial" w:hAnsi="Arial"/>
          <w:sz w:val="18"/>
          <w:szCs w:val="18"/>
          <w:color w:val="auto"/>
        </w:rPr>
      </w:pPr>
    </w:p>
    <w:p>
      <w:pPr>
        <w:ind w:left="880" w:right="680" w:hanging="224"/>
        <w:spacing w:after="0" w:line="24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02"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w:t>
      </w:r>
    </w:p>
    <w:p>
      <w:pPr>
        <w:spacing w:after="0" w:line="212"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These and other disruptions in our operations and the global economy could negatively impact our business, operating results and financial condition.</w:t>
      </w:r>
    </w:p>
    <w:p>
      <w:pPr>
        <w:spacing w:after="0" w:line="197"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Our clinical trials have been, and may in the future be, affected by the COVID-19 pandemic. For example, some of our clinical trial sites have slowed down or stop further enrollment of new patients in clinical trials, denied access to site monitors and otherwise curtailed certain operations. Similarly, our ability to recruit and retain principal investigators and site staff who, as healthcare providers, may have heightened exposure to COVID-19, may be adversely impacted. Our ongoing or planned clinical trials may also be impacted by interruptions or delays in the operations of the FDA and comparable foreign regulatory agencies. We and our CROs have also made certain adjustments to the operation of our trials in an effort to ensure the monitoring and safety of patients and minimize risks to trial integrity during the pandemic in accordance with the guidance issued by the FDA, and may need to make further adjustments in the future. Many of these adjustments are new and untested, may not be effective, and may have unforeseen effects on the enrollment, progress and completion of these trials and the findings from these trials. These events could delay our clinical trials, increase the cost of completing our clinical trials and negatively impact the integrity, reliability or robustness of the data from our clinical trials.</w:t>
      </w:r>
    </w:p>
    <w:p>
      <w:pPr>
        <w:spacing w:after="0" w:line="20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upon which we rely, or the availability or cost of materials, which could disrupt the supply chain for our product candidates. To the extent our suppliers and service providers are unable to comply with their obligations under our agreements with them or they are otherwise unable to deliver or are delayed in delivering goods and services to us due to the COVID-19 pandemic, our ability to continue meeting clinical supply demand for our product candidates or otherwise advancing development of our product candidates may become impaired.</w:t>
      </w:r>
    </w:p>
    <w:p>
      <w:pPr>
        <w:spacing w:after="0" w:line="203" w:lineRule="exact"/>
        <w:rPr>
          <w:sz w:val="20"/>
          <w:szCs w:val="20"/>
          <w:color w:val="auto"/>
        </w:rPr>
      </w:pPr>
    </w:p>
    <w:p>
      <w:pPr>
        <w:ind w:left="120" w:firstLine="551"/>
        <w:spacing w:after="0" w:line="261" w:lineRule="auto"/>
        <w:rPr>
          <w:sz w:val="20"/>
          <w:szCs w:val="20"/>
          <w:color w:val="auto"/>
        </w:rPr>
      </w:pPr>
      <w:r>
        <w:rPr>
          <w:rFonts w:ascii="Arial" w:cs="Arial" w:eastAsia="Arial" w:hAnsi="Arial"/>
          <w:sz w:val="17"/>
          <w:szCs w:val="17"/>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60"/>
        <w:spacing w:after="0"/>
        <w:rPr>
          <w:sz w:val="20"/>
          <w:szCs w:val="20"/>
          <w:color w:val="auto"/>
        </w:rPr>
      </w:pPr>
      <w:r>
        <w:rPr>
          <w:rFonts w:ascii="Arial" w:cs="Arial" w:eastAsia="Arial" w:hAnsi="Arial"/>
          <w:sz w:val="18"/>
          <w:szCs w:val="18"/>
          <w:color w:val="auto"/>
        </w:rPr>
        <w:t>and financial position. In addition, the trading prices for other biopharmaceutical companies have been highly volatile as a result of the COVID-19 pandemic. As a result, we may face difficulties raising capital through sales of our common stock or such sales may be on unfavorable terms.</w:t>
      </w:r>
    </w:p>
    <w:p>
      <w:pPr>
        <w:spacing w:after="0" w:line="203" w:lineRule="exact"/>
        <w:rPr>
          <w:sz w:val="20"/>
          <w:szCs w:val="20"/>
          <w:color w:val="auto"/>
        </w:rPr>
      </w:pPr>
    </w:p>
    <w:p>
      <w:pPr>
        <w:ind w:left="120" w:right="180" w:firstLine="551"/>
        <w:spacing w:after="0" w:line="237" w:lineRule="auto"/>
        <w:rPr>
          <w:sz w:val="20"/>
          <w:szCs w:val="20"/>
          <w:color w:val="auto"/>
        </w:rPr>
      </w:pPr>
      <w:r>
        <w:rPr>
          <w:rFonts w:ascii="Arial" w:cs="Arial" w:eastAsia="Arial" w:hAnsi="Arial"/>
          <w:sz w:val="18"/>
          <w:szCs w:val="18"/>
          <w:color w:val="auto"/>
        </w:rPr>
        <w:t>COVID-19 and actions taken to reduce its spread continue to rapidly evolve. The extent to which COVID-19 may impede the development of our product candidates, reduce the productivity of our employees, disrupt our supply chains, delay our clinical trials, reduce our access to capital or limit our business development activities, will depend on future developments, which are highly uncertain and cannot be predicted with confidence. To the extent the COVID-19 pandemic adversely affects our business and financial results, it may also have the effect of heightening many of the other risks described in this “Risk Factors” section, such as those relating to the timing and results of our clinical trials and our financing needs.</w:t>
      </w:r>
    </w:p>
    <w:p>
      <w:pPr>
        <w:spacing w:after="0" w:line="291"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are exposed to the risk of fraud or other misconduct by our employees, principal investigators, consultants and commercial partners. Misconduct by these parties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those actions could have a significant impact on our business, including the imposition of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the curtailment or restructuring of our operations.</w:t>
      </w:r>
    </w:p>
    <w:p>
      <w:pPr>
        <w:spacing w:after="0" w:line="29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8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incur substantial liability and costs. In addition, regardless of merit or eventual outcome, product liability claims may result in:</w:t>
      </w:r>
    </w:p>
    <w:p>
      <w:pPr>
        <w:spacing w:after="0" w:line="117"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1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claims, or series of claims brought against us could cause our stock price to decline and, if judgments exceed our insurance coverage, could adversely affect our results of operations and business.</w:t>
      </w:r>
    </w:p>
    <w:p>
      <w:pPr>
        <w:spacing w:after="0" w:line="20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Patients with cancer and other diseases targeted by our product candidates are often already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92" w:lineRule="exact"/>
        <w:rPr>
          <w:sz w:val="20"/>
          <w:szCs w:val="20"/>
          <w:color w:val="auto"/>
        </w:rPr>
      </w:pPr>
    </w:p>
    <w:p>
      <w:pPr>
        <w:ind w:left="120" w:right="880"/>
        <w:spacing w:after="0" w:line="271"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68"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could result in delays in product development and harm our business.</w:t>
      </w:r>
    </w:p>
    <w:p>
      <w:pPr>
        <w:spacing w:after="0" w:line="2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conduct substantially all of our operations at our facilities in Seattle. This region is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certain of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employees. Our success also depends on our ability to continue to attract, retain and motivate highly skilled junior, mid-level and senior managers as well as junior, mid-level and senior scientific and medical personnel.</w:t>
      </w:r>
    </w:p>
    <w:p>
      <w:pPr>
        <w:spacing w:after="0" w:line="293"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We expect to expand our development, regulatory and operational capabilities and, as a result, we may encounter difficulties in managing our growth, which could disrupt our operations.</w:t>
      </w:r>
    </w:p>
    <w:p>
      <w:pPr>
        <w:spacing w:after="0" w:line="68"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As of December 31, 2020, we had 56 employees which represents an increase of 33 employees since January 1, 2019. As we advance our research and development programs, we may be required to further increase the number of our employees and the scope of our operations, particularly in the areas of clinical development, quality, regulatory affairs and, if any of our product candidates receives marketing approval, sales, marketing and distribution. To manage any future growth, we must:</w:t>
      </w:r>
    </w:p>
    <w:p>
      <w:pPr>
        <w:spacing w:after="0" w:line="110" w:lineRule="exact"/>
        <w:rPr>
          <w:sz w:val="20"/>
          <w:szCs w:val="20"/>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 recruit integrate, maintain and motivate additional qualified personnel;</w:t>
      </w:r>
    </w:p>
    <w:p>
      <w:pPr>
        <w:spacing w:after="0" w:line="117"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manage our development efforts effectively, including the initiation and conduct of clinical trials for our product candidates, both as a monotherapy and in combination with other therapeutics;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improve our operational, financial and management controls, reporting systems and procedures.</w:t>
      </w:r>
    </w:p>
    <w:p>
      <w:pPr>
        <w:spacing w:after="0" w:line="212"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w:t>
      </w:r>
    </w:p>
    <w:p>
      <w:pPr>
        <w:spacing w:after="0" w:line="205" w:lineRule="exact"/>
        <w:rPr>
          <w:sz w:val="20"/>
          <w:szCs w:val="20"/>
          <w:color w:val="auto"/>
        </w:rPr>
      </w:pPr>
    </w:p>
    <w:p>
      <w:pPr>
        <w:ind w:left="120" w:right="360" w:firstLine="551"/>
        <w:spacing w:after="0"/>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89"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more quickly or marketing them more successfully than us.</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development and commercialization of new products is highly competitive. We largely compete in the segments of the pharmaceutical, biotechnology and other related markets that develop immunotherapies for the treatment of cancer.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if ever, which could result in our competitors establishing a strong market position before we are able to enter the market or make our development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more complicated. Moreover, with the proliferation of new drugs and therapies into oncology, we expect to face increasingly intense competition as new technologies become available. If we fail to stay at the forefront of technological change, we may be unable to compete effectively. Any product candidates that we successfully develop and commercialize will compete with existing therapies and new therapies that may become available in the future. The highly competitive nature of and rapid technological changes in the biotechnology and pharmaceutical industries could render our product candidates or our technology obsolete, less competitive or uneconomical.</w:t>
      </w:r>
    </w:p>
    <w:p>
      <w:pPr>
        <w:spacing w:after="0" w:line="190"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Other products in a similar class as some of our product candidates have already been approved and other products in the same class are further along in development. As more product candidates within a particular class of biopharmaceutical products proceed through clinical development to regulatory review and approval, the amount and type of clinical data that may be required by regulatory authorities may increase or change. Consequently, the results of our clinical trials for product candidates in those class will likely need to show a risk benefit profile that is competitive with or more favorable than those products and product candidates in order to obtain marketing approval or, if approved, a product label that is favorable for commercialization. If the risk benefit profile is not competitive with those products or product candidates, we may have developed a product that is not commercially viable, that we are not able to sell profitably or that is unable to achieve favorable pricing or reimbursement. In such circumstances, our future product revenue and financial condition would be materially and adversely affected.</w:t>
      </w:r>
    </w:p>
    <w:p>
      <w:pPr>
        <w:spacing w:after="0" w:line="207"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Specifically, there are many companies pursuing a variety of approaches to TLR-directed therapies, including Apros Therapeutics, Ascendis, BioNTech, Bolt Biotherapeutics, Bristol Myers Squibb, Checkmate Pharmaceuticals, CureVac, Exicure, Galaderma, Gilead, Idera, Mologen, Nektar, Novartis, Primmune Therapeutics, Roche, Seven&amp;Eight, Shanghai De Novo, Sumitomo Dainippon, TriSalus, and UroGen. Other companies using antibody-drug conjugates to target innate immune receptors include Actym Therapeutics, Mersana, and Takeda Pharmaceuticals. Immunotherapy and validated pathway approaches are further being pursued by many smaller biotechnology companies as well as larger pharmaceutical companies. We also face competition from validated pathway therapy treatments offered by companies such as AstraZeneca, Byondis, Daiichi Sankyo, Genentech, MacroGenics, Pieris, Puma, Seagen (formerly Seattle Genetics), Spectrum Pharmaceuticals, and Zymeworks. We also face competition from companies that continue to invest in innovation in the antibody-drug conjugate field, including but not limited to AbbVie, ADC Therapeutics, Astellas, BioAtla, Celldex, CytomX, Eli Lilly and Company, GlaxoSmithKline, Genmab, ImmunoGen, Immunomedics, Millennium Pharmaceuticals, MorphoSys AG, Novartis, Pfizer, Sanofi, Seagen (formerly Seattle Genetics), Sutro Biopharma, and VelosBio.</w:t>
      </w:r>
    </w:p>
    <w:p>
      <w:pPr>
        <w:spacing w:after="0" w:line="20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Many of our competitors, either alone or with their collaboration partners, have significantly greater financial resources and expertise in research and development, preclinical testing, clinical trials, manufacturing and marketing than we do. Future collaborations and mergers and acquisitions may result in further resource concentration among a smaller number of competitors. Smaller or early-stage companies may also prove to be significant competitors, particularly through collaborative arrangements with large and established companies. These competitors will also compete with us in recruiting and retaining qualified scientific and management personnel and establishing clinical trial sites and subject registration for clinical trials, as well as in acquiring technologies complementary to, or that may be necessary for, our programs.</w:t>
      </w:r>
    </w:p>
    <w:p>
      <w:pPr>
        <w:spacing w:after="0" w:line="20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key competitive factors affecting the success of all of our programs are likely to be efficacy, safety, and convenience. If we are not successful in developing, commercializing and achieving higher levels of reimbursement than our competitors, we will not be able to compete against them and our business would be materially harmed.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Unused U.S. federal net operating loss carryforwards (NOLs) for taxable years beginning before January 1, 2018, may be carried forward to offset future taxable income, if any, until such unused NOLs expire. Under the Tax Act enacted in 2017, as modified by legislation enacted on March 27, 2020, entitled the Coronavirus Aid, Relief, and Economic Security Act (the CARES Act), U.S. federal NOLs incurred in taxable years beginning after December 31, 2017, can be carried forward indefinitely, but the deductibility of such U.S. federal NOLs in taxable years beginning after December 31, 2020, is limited to 80% of taxable income. It is uncertain if and to what extent various states will conform to the Tax Act or to the CARES Act.</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As of December 31, 2020, we had $89.7 million of U.S. federal NOLs. If not used, $18.2 million of the U.S. federal NOLs will begin to expire in 2036 and $71.5 million can be carried forward indefinitely under current law. As of December 31, 2020, we also had aggregate U.S. federal research and development (R&amp;D) credits of approximately $1.5 million. Our NOL carryforwards and R&amp;D credits are subject to review and possible adjustment by the U.S. and state tax authorities.</w:t>
      </w:r>
    </w:p>
    <w:p>
      <w:pPr>
        <w:spacing w:after="0" w:line="205" w:lineRule="exact"/>
        <w:rPr>
          <w:sz w:val="20"/>
          <w:szCs w:val="20"/>
          <w:color w:val="auto"/>
        </w:rPr>
      </w:pPr>
    </w:p>
    <w:p>
      <w:pPr>
        <w:ind w:left="120" w:right="60" w:firstLine="551"/>
        <w:spacing w:after="0" w:line="252" w:lineRule="auto"/>
        <w:rPr>
          <w:sz w:val="20"/>
          <w:szCs w:val="20"/>
          <w:color w:val="auto"/>
        </w:rPr>
      </w:pPr>
      <w:r>
        <w:rPr>
          <w:rFonts w:ascii="Arial" w:cs="Arial" w:eastAsia="Arial" w:hAnsi="Arial"/>
          <w:sz w:val="17"/>
          <w:szCs w:val="17"/>
          <w:color w:val="auto"/>
        </w:rPr>
        <w:t>In addition, under Sections 382 and 383 of the Internal Revenue Code of 1986, as amended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R&amp;D credits and certain other tax attributes to offset its post-change income or taxes may be limited. This could limit the amount of NOLs, R&amp;D credit carryforwards or other applicable tax attributes that we can utilize annually to offset future taxable income or tax liabilities. Subsequent ownership changes and changes to the U.S. tax rules in respect of the utilization of NOLs, R&amp;D credits and other applicable tax attributes carried forward may further affect the limitation in future years. In addition, at the state level, there may be periods during which the use of NOLs is suspended or otherwise limited, which could accelerate or permanently increase state taxes owed.</w:t>
      </w:r>
    </w:p>
    <w:p>
      <w:pPr>
        <w:spacing w:after="0" w:line="280"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 care professionals, consultants, third-party payors and customers are subject, directly or indirectly, to federal and state healthcare fraud and abuse laws, transparency laws and other healthcare laws and regulations. If we are unable to comply, or have not fully complied, with such laws, we could face substantial penalties.</w:t>
      </w:r>
    </w:p>
    <w:p>
      <w:pPr>
        <w:spacing w:after="0" w:line="88" w:lineRule="exact"/>
        <w:rPr>
          <w:sz w:val="20"/>
          <w:szCs w:val="20"/>
          <w:color w:val="auto"/>
        </w:rPr>
      </w:pPr>
    </w:p>
    <w:p>
      <w:pPr>
        <w:ind w:left="120" w:right="20" w:firstLine="551"/>
        <w:spacing w:after="0" w:line="251" w:lineRule="auto"/>
        <w:rPr>
          <w:sz w:val="20"/>
          <w:szCs w:val="20"/>
          <w:color w:val="auto"/>
        </w:rPr>
      </w:pPr>
      <w:r>
        <w:rPr>
          <w:rFonts w:ascii="Arial" w:cs="Arial" w:eastAsia="Arial" w:hAnsi="Arial"/>
          <w:sz w:val="17"/>
          <w:szCs w:val="17"/>
          <w:color w:val="auto"/>
        </w:rPr>
        <w:t>Although we do not currently have any products on the market, our operations may be, directly or indirectly through our prescribers,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and other parties through which we may market, sell and distribute our products for which we obtain marketing approval. In addition, we may be subject to additional healthcare, statutory and regulatory requirements and enforcement by foreign regulatory authorities in jurisdictions in which we conduct our business. The laws that may affect our ability to operate include:</w:t>
      </w:r>
    </w:p>
    <w:p>
      <w:pPr>
        <w:spacing w:after="0" w:line="104" w:lineRule="exact"/>
        <w:rPr>
          <w:sz w:val="20"/>
          <w:szCs w:val="20"/>
          <w:color w:val="auto"/>
        </w:rPr>
      </w:pPr>
    </w:p>
    <w:p>
      <w:pPr>
        <w:ind w:left="880" w:right="520" w:hanging="224"/>
        <w:spacing w:after="0" w:line="24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paying any remuneration (including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0"/>
        <w:spacing w:after="0" w:line="238" w:lineRule="auto"/>
        <w:rPr>
          <w:sz w:val="20"/>
          <w:szCs w:val="20"/>
          <w:color w:val="auto"/>
        </w:rPr>
      </w:pPr>
      <w:r>
        <w:rPr>
          <w:rFonts w:ascii="Arial" w:cs="Arial" w:eastAsia="Arial" w:hAnsi="Arial"/>
          <w:sz w:val="18"/>
          <w:szCs w:val="18"/>
          <w:color w:val="auto"/>
        </w:rPr>
        <w:t>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108" w:lineRule="exact"/>
        <w:rPr>
          <w:sz w:val="20"/>
          <w:szCs w:val="20"/>
          <w:color w:val="auto"/>
        </w:rPr>
      </w:pPr>
    </w:p>
    <w:p>
      <w:pPr>
        <w:ind w:left="880" w:right="120" w:hanging="224"/>
        <w:spacing w:after="0" w:line="23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U.S. federal false claims, including the False Claims Act, which can be enforced through whistleblower actions, and civil monetary penalties laws,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108" w:lineRule="exact"/>
        <w:rPr>
          <w:rFonts w:ascii="Arial" w:cs="Arial" w:eastAsia="Arial" w:hAnsi="Arial"/>
          <w:sz w:val="18"/>
          <w:szCs w:val="18"/>
          <w:color w:val="auto"/>
        </w:rPr>
      </w:pPr>
    </w:p>
    <w:p>
      <w:pPr>
        <w:ind w:left="880" w:right="40" w:hanging="224"/>
        <w:spacing w:after="0" w:line="238"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07" w:lineRule="exact"/>
        <w:rPr>
          <w:rFonts w:ascii="Arial" w:cs="Arial" w:eastAsia="Arial" w:hAnsi="Arial"/>
          <w:sz w:val="18"/>
          <w:szCs w:val="18"/>
          <w:color w:val="auto"/>
        </w:rPr>
      </w:pPr>
    </w:p>
    <w:p>
      <w:pPr>
        <w:ind w:left="880" w:right="180" w:hanging="224"/>
        <w:spacing w:after="0" w:line="238"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impose requirements on certain covered healthcare providers, health plans, and healthcare clearinghouses as well as their respective business associates that perform services for them, and their covered subcontractors, that involve the use, or disclosure of, individually identifiable health information, relating to the privacy, security, and transmission of such individually identifiable health information;</w:t>
      </w:r>
    </w:p>
    <w:p>
      <w:pPr>
        <w:spacing w:after="0" w:line="110"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U.S. Federal Food, Drug and Cosmetic Act, which prohibits, among other things, the adulteration or misbranding of drugs, biologics and medical devices;</w:t>
      </w:r>
    </w:p>
    <w:p>
      <w:pPr>
        <w:spacing w:after="0" w:line="102" w:lineRule="exact"/>
        <w:rPr>
          <w:rFonts w:ascii="Arial" w:cs="Arial" w:eastAsia="Arial" w:hAnsi="Arial"/>
          <w:sz w:val="18"/>
          <w:szCs w:val="18"/>
          <w:color w:val="auto"/>
        </w:rPr>
      </w:pPr>
    </w:p>
    <w:p>
      <w:pPr>
        <w:ind w:left="880" w:right="40" w:hanging="224"/>
        <w:spacing w:after="0" w:line="23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U.S. federal legislation commonly referred to as Physician Payments Sunshine Act, enacted as part of the Affordable Care Act,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 Beginning in 2022, such obligations will include payments and other transfers of value provided in the previous year to certain other healthcare professionals, including physician assistants, nurse practitioners, clinical nurse specialists, certified nurse anesthetists, anesthesiologist assistants and certified nurse midwives;</w:t>
      </w:r>
    </w:p>
    <w:p>
      <w:pPr>
        <w:spacing w:after="0" w:line="112" w:lineRule="exact"/>
        <w:rPr>
          <w:rFonts w:ascii="Arial" w:cs="Arial" w:eastAsia="Arial" w:hAnsi="Arial"/>
          <w:sz w:val="18"/>
          <w:szCs w:val="18"/>
          <w:color w:val="auto"/>
        </w:rPr>
      </w:pPr>
    </w:p>
    <w:p>
      <w:pPr>
        <w:ind w:left="880" w:hanging="224"/>
        <w:spacing w:after="0" w:line="23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300"/>
        <w:spacing w:after="0"/>
        <w:rPr>
          <w:sz w:val="20"/>
          <w:szCs w:val="20"/>
          <w:color w:val="auto"/>
        </w:rPr>
      </w:pPr>
      <w:r>
        <w:rPr>
          <w:rFonts w:ascii="Arial" w:cs="Arial" w:eastAsia="Arial" w:hAnsi="Arial"/>
          <w:sz w:val="18"/>
          <w:szCs w:val="18"/>
          <w:color w:val="auto"/>
        </w:rPr>
        <w:t>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w:t>
      </w:r>
    </w:p>
    <w:p>
      <w:pPr>
        <w:spacing w:after="0" w:line="108" w:lineRule="exact"/>
        <w:rPr>
          <w:sz w:val="20"/>
          <w:szCs w:val="20"/>
          <w:color w:val="auto"/>
        </w:rPr>
      </w:pPr>
    </w:p>
    <w:p>
      <w:pPr>
        <w:ind w:left="880" w:right="140" w:hanging="224"/>
        <w:spacing w:after="0" w:line="24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97"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if we become subject to a corporate integrity agreement or similar agreement to resolve allegations of non-compliance with these laws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300"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affect the prices we may charge for such product candidates.</w:t>
      </w:r>
    </w:p>
    <w:p>
      <w:pPr>
        <w:spacing w:after="0" w:line="68"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20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In March 2010, the Affordable Care Act was enacted, which includes measures that have significantly changed the way health care is financed by both governmental and private insurers. There have been executive, judicial and congressional challenges to certain aspects of the Affordable Care Act. On December 14, 2018, a Texas U.S. District Court Judge ruled that the Affordable Care Act is unconstitutional in its entirety because the “individual mandate” was repealed by Congress as part of the Tax Act. Additionally, on December 18, 2019, the U.S. Court of Appeals for the 5</w:t>
      </w:r>
      <w:r>
        <w:rPr>
          <w:rFonts w:ascii="Arial" w:cs="Arial" w:eastAsia="Arial" w:hAnsi="Arial"/>
          <w:sz w:val="15"/>
          <w:szCs w:val="15"/>
          <w:color w:val="auto"/>
        </w:rPr>
        <w:t>th</w:t>
      </w:r>
      <w:r>
        <w:rPr>
          <w:rFonts w:ascii="Arial" w:cs="Arial" w:eastAsia="Arial" w:hAnsi="Arial"/>
          <w:sz w:val="18"/>
          <w:szCs w:val="18"/>
          <w:color w:val="auto"/>
        </w:rPr>
        <w:t xml:space="preserve"> Circuit upheld the District Court ruling that the individual mandate was unconstitutional and remanded the case back to the District Court to determine whether the remaining provisions of the Affordable Care Act are invalid as well. The U.S. Supreme Court is currently reviewing the case, although it is unknown when a decision will be made. Further, although the U.S. Supreme Court has not yet ruled on the constitutionality of the Affordable Care Act, on January 28, 2021, President Biden issued an executive order to initiate a special enrollment period from February 15, 2021 through May 15, 2021 for purposes of obtaining health insurance coverage through the Affordable Care Act marketplace. The executive order also instructs certain governmental agencies to review and reconsider their existing policies and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the Supreme Court ruling, other such litigation, and the healthcare reform measures of the Biden administration will impact the Affordable Care Act. We continue to evaluate the effect that the Affordable Care Act and its possible repeal and replacement has on our business.</w:t>
      </w:r>
    </w:p>
    <w:p>
      <w:pPr>
        <w:spacing w:after="0" w:line="20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For example, in August 2011, the Budget Control Act of 2011 was signed into law, which, among other things, included aggregate reductions to Medicare payments to providers of, on average, 2% per fiscal year through 2030, with the exception of a temporary suspension from May 1, 2020 through March 31, 2021, unless Congress takes additional action.</w:t>
      </w:r>
    </w:p>
    <w:p>
      <w:pPr>
        <w:spacing w:after="0" w:line="205" w:lineRule="exact"/>
        <w:rPr>
          <w:sz w:val="20"/>
          <w:szCs w:val="20"/>
          <w:color w:val="auto"/>
        </w:rPr>
      </w:pPr>
    </w:p>
    <w:p>
      <w:pPr>
        <w:ind w:left="120" w:right="80" w:firstLine="551"/>
        <w:spacing w:after="0" w:line="235" w:lineRule="auto"/>
        <w:rPr>
          <w:sz w:val="20"/>
          <w:szCs w:val="20"/>
          <w:color w:val="auto"/>
        </w:rPr>
      </w:pPr>
      <w:r>
        <w:rPr>
          <w:rFonts w:ascii="Arial" w:cs="Arial" w:eastAsia="Arial" w:hAnsi="Arial"/>
          <w:sz w:val="18"/>
          <w:szCs w:val="18"/>
          <w:color w:val="auto"/>
        </w:rPr>
        <w:t>Recently, there has been increasing legislative and enforcement interest in the United States with respect to specialty drug pricing practices. Specifically, there have been several recent U.S. congressional inquiries and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w:t>
      </w:r>
    </w:p>
    <w:p>
      <w:pPr>
        <w:spacing w:after="0" w:line="21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Any reduction in reimbursement from Medicare and other government programs may result in a similar reduction in payments from private payers. At the state level, legislatures have increasingly passed legislation and implemented regulations designed to control costs of pharmaceutical and biological products. Moreover, regional healthcare authorities and individual hospitals are increasingly using bidding procedures to determine what pharmaceutical products and which suppliers will be included in their prescription drug and other healthcare programs.</w:t>
      </w:r>
    </w:p>
    <w:p>
      <w:pPr>
        <w:spacing w:after="0" w:line="20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expect that the healthcare reform measures that have been adopted, and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commercialize our products. Further, it is possible that additional governmental action is taken in response to the COVID-19 pandemic.</w:t>
      </w:r>
    </w:p>
    <w:p>
      <w:pPr>
        <w:spacing w:after="0" w:line="29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83"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We and our collaborators and third-party providers may be subject to federal, state and foreign data privacy and security laws and regulations.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and third-party providers. In addition,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191"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In many jurisdictions, enforcement actions and consequences for noncompliance are rising. In the United States, these include enforcement actions in response to rules and regulations promulgated under the authority of federal agencies and state attorneys general and legislatures and consumer protection agencies. In addition, privacy advocates and industry groups have regularly proposed, and may propose in the future, self-regulatory standards that may legally or contractually apply to us. If we fail to follow these security standards, even if no customer information is compromised, we may incur significant fines or experience a significant increase in costs. Many state legislatures have adopted legislation that regulates how businesses operate online, including measures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Furthermore, California recently enacted the California Consumer Privacy Act (the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At this time, we do not collect personal information relating to residents of California but should we begin to do so, the CCPA will impose new and burdensome privacy compliance obligations on our business and will raise new risks for potential fines and class actions.</w:t>
      </w:r>
    </w:p>
    <w:p>
      <w:pPr>
        <w:spacing w:after="0" w:line="21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Foreign data protection laws, including the EU General Data Protection Regulation (the GDPR), may also apply to health-related and other personal information obtained outside of the United States. The GDPR, which came into effect on May 25, 2018, imposes strict requirements for processing the personal data of individuals within the European Economic Area (EEA) and the United Kingdom, including clinical trial data, as well as potential fines for noncompliant companies of up to the greater of €20 million or 4% of annual global revenue. The GDPR imposes strict requirements for the collection, use and disclosure of personal data, including stringent requirements relating to obtaining consent, providing information to individuals regarding data processing activities, implementing safeguards to protect the security and confidentiality of personal data, providing notification of data breaches and taking certain measures when engaging third-party processors. Among other requirements, the GDPR regulates transfers of personal data subject to the GDPR to third countries that have not been found to provide adequate protection to such personal data, including the United States, and the efficacy and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55" w:lineRule="auto"/>
        <w:rPr>
          <w:sz w:val="20"/>
          <w:szCs w:val="20"/>
          <w:color w:val="auto"/>
        </w:rPr>
      </w:pPr>
      <w:r>
        <w:rPr>
          <w:rFonts w:ascii="Arial" w:cs="Arial" w:eastAsia="Arial" w:hAnsi="Arial"/>
          <w:sz w:val="17"/>
          <w:szCs w:val="17"/>
          <w:color w:val="auto"/>
        </w:rPr>
        <w:t>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At this time, we do not believe we are subject to the GDPR, but should this change, the GDPR will increase our responsibility and potential liability in relation to personal data that we process, and we may be required to put in place additional mechanisms to ensure compliance with the new EU data protection rules.</w:t>
      </w:r>
    </w:p>
    <w:p>
      <w:pPr>
        <w:spacing w:after="0" w:line="190"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Compliance with U.S. and foreign data protection laws and regulations could require us to take on more onerous obligations in our contracts, restrict our ability to collect, use and disclose data, or in some cases, impact our ability to operate in certain jurisdictions. Failure by us or our collaborators and third-party providers to comply with U.S.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results of operations and prospects.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88"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We rely upon a combination of patents, know-how and confidentiality agreements to protect the intellectual property related to our products and technologies and to prevent third parties from copying and surpassing our achievements, thus eroding our competitive position in our market.</w:t>
      </w:r>
    </w:p>
    <w:p>
      <w:pPr>
        <w:spacing w:after="0" w:line="20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Our success depends in large part on our ability to obtain and maintain patent protection for our platform technologies, product candidates and their uses, as well as our ability to operate without infringing the proprietary rights of others. We seek to protect our proprietary position by filing patent applications in the United States and abroad related to our novel discoveries and technologies that are important to our business. Our pending and future patent applications may not result in patents being issued or that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including delays as a result of the COVID-19 pandemic impacting our or our licensors’ operations.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these parties may breach these agreements and disclose such results before a patent application is filed, thereby jeopardizing our ability to seek patent protection.</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Composition of matter patents for biological and pharmaceutical product candidates often provide a strong form of intellectual property protection for those types of products, as such patents provide protection without regard to any method of use. We cannot be certain that the claims in our pending patent applications directed to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spacing w:after="0" w:line="20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In addition, the laws of foreign countries may not protect our rights to the same extent as the laws of the United States, or vice versa.</w:t>
      </w:r>
    </w:p>
    <w:p>
      <w:pPr>
        <w:spacing w:after="0" w:line="205"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 xml:space="preserve">The patent application process is subject to numerous risks and uncertainties, and there can be no assurance that we or any of our potential future collaborators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As a result, the issuance, inventorship, scope, validity, enforceability and commercial value of our patent rights are highly uncertain. Our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our issued patents may be subject to post-grant review (PGR) proceedings, oppositions, derivations, reexaminations, 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have a material adverse effect on our business, financial condition, results of operations and prospects.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29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We cannot ensure that patent rights relating to inventions described and claimed in our pending patent applications will issue or that patents based on our patent applications will not be challenged and rendered invalid and/or unenforceable.</w:t>
      </w:r>
    </w:p>
    <w:p>
      <w:pPr>
        <w:spacing w:after="0" w:line="68" w:lineRule="exact"/>
        <w:rPr>
          <w:sz w:val="20"/>
          <w:szCs w:val="20"/>
          <w:color w:val="auto"/>
        </w:rPr>
      </w:pPr>
    </w:p>
    <w:p>
      <w:pPr>
        <w:jc w:val="both"/>
        <w:ind w:left="120" w:right="40" w:firstLine="551"/>
        <w:spacing w:after="0"/>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We have pending U.S. and foreign patent applications in our portfolio; however, we cannot predict:</w:t>
      </w:r>
    </w:p>
    <w:p>
      <w:pPr>
        <w:spacing w:after="0" w:line="108"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and when patents may issue based on our patent applications;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of protection of any patent issuing based on our patent applications;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claims of any patent issuing based on our patent applications will provide protection against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or not third parties will find ways to invalidate or circumvent our patent rights;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or not others will obtain patents claiming aspects similar to those covered by our patents and patent applications;</w:t>
      </w:r>
    </w:p>
    <w:p>
      <w:pPr>
        <w:spacing w:after="0" w:line="117"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we will need to initiate litigation or administrative proceedings to enforce and/or defend our patent rights which will be costly whether we win or lose; and/or</w:t>
      </w:r>
    </w:p>
    <w:p>
      <w:pPr>
        <w:spacing w:after="0" w:line="102" w:lineRule="exact"/>
        <w:rPr>
          <w:rFonts w:ascii="Arial" w:cs="Arial" w:eastAsia="Arial" w:hAnsi="Arial"/>
          <w:sz w:val="18"/>
          <w:szCs w:val="18"/>
          <w:color w:val="auto"/>
        </w:rPr>
      </w:pPr>
    </w:p>
    <w:p>
      <w:pPr>
        <w:ind w:left="880" w:right="800" w:hanging="224"/>
        <w:spacing w:after="0" w:line="24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patent applications that we own or in-license will result in issued patents with claims that cover our product candidates or uses thereof in the United States or in other foreign countries.</w:t>
      </w:r>
    </w:p>
    <w:p>
      <w:pPr>
        <w:spacing w:after="0" w:line="197"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We cannot be certain that the claims in our pending patent applications directed to our product candidates and/or technologies will be considered patentable by the USPTO or by patent offices in foreign countries. There can be no assurance that any such patent applications will issue as granted patents. One aspect of the determination of patentability of our inventions depends on the scope and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26"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2" w:lineRule="exact"/>
        <w:rPr>
          <w:sz w:val="20"/>
          <w:szCs w:val="20"/>
          <w:color w:val="auto"/>
        </w:rPr>
      </w:pPr>
    </w:p>
    <w:p>
      <w:pPr>
        <w:ind w:left="880" w:right="80" w:hanging="224"/>
        <w:spacing w:after="0" w:line="24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others may be able to make product candidates that are similar to ours but that are not covered by the claims of the patents that we own or have exclusively licensed;</w:t>
      </w:r>
    </w:p>
    <w:p>
      <w:pPr>
        <w:spacing w:after="0" w:line="102"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102" w:lineRule="exact"/>
        <w:rPr>
          <w:rFonts w:ascii="Arial" w:cs="Arial" w:eastAsia="Arial" w:hAnsi="Arial"/>
          <w:sz w:val="18"/>
          <w:szCs w:val="18"/>
          <w:color w:val="auto"/>
        </w:rPr>
      </w:pPr>
    </w:p>
    <w:p>
      <w:pPr>
        <w:ind w:left="880" w:right="760" w:hanging="224"/>
        <w:spacing w:after="0" w:line="24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file patent applications covering certain of our inventions;</w:t>
      </w:r>
    </w:p>
    <w:p>
      <w:pPr>
        <w:spacing w:after="0" w:line="102"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02" w:lineRule="exact"/>
        <w:rPr>
          <w:rFonts w:ascii="Arial" w:cs="Arial" w:eastAsia="Arial" w:hAnsi="Arial"/>
          <w:sz w:val="18"/>
          <w:szCs w:val="18"/>
          <w:color w:val="auto"/>
        </w:rPr>
      </w:pPr>
    </w:p>
    <w:p>
      <w:pPr>
        <w:ind w:left="880" w:right="22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revoked, modified, or held invalid or unenforceable, as a result of legal challenges by our competitors;</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880" w:right="26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cannot predict the scope of protection of any patent issuing based on our patent applications, including whether the patent applications that we own or in-license will result in issued patents with claims that directed to our product candidates or uses thereof in the United States or in other foreign countries;</w:t>
      </w:r>
    </w:p>
    <w:p>
      <w:pPr>
        <w:spacing w:after="0" w:line="108" w:lineRule="exact"/>
        <w:rPr>
          <w:rFonts w:ascii="Arial" w:cs="Arial" w:eastAsia="Arial" w:hAnsi="Arial"/>
          <w:sz w:val="18"/>
          <w:szCs w:val="18"/>
          <w:color w:val="auto"/>
        </w:rPr>
      </w:pPr>
    </w:p>
    <w:p>
      <w:pPr>
        <w:ind w:left="880" w:right="32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520" w:hanging="224"/>
        <w:spacing w:after="0" w:line="24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02" w:lineRule="exact"/>
        <w:rPr>
          <w:rFonts w:ascii="Arial" w:cs="Arial" w:eastAsia="Arial" w:hAnsi="Arial"/>
          <w:sz w:val="18"/>
          <w:szCs w:val="18"/>
          <w:color w:val="auto"/>
        </w:rPr>
      </w:pPr>
    </w:p>
    <w:p>
      <w:pPr>
        <w:ind w:left="880" w:right="760" w:hanging="224"/>
        <w:spacing w:after="0" w:line="24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claims of any patent issuing based on our patent applications may not provide protection against competitors or any competitive advantages, or may be challenged by third parties;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enforced, a court may not hold that our patents are valid, enforceable and infringed;</w:t>
      </w:r>
    </w:p>
    <w:p>
      <w:pPr>
        <w:spacing w:after="0" w:line="117"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need to initiate litigation or administrative proceedings to enforce and/or defend our patent rights which will be costly whether we win or lose;</w:t>
      </w:r>
    </w:p>
    <w:p>
      <w:pPr>
        <w:spacing w:after="0" w:line="102"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17" w:lineRule="exact"/>
        <w:rPr>
          <w:rFonts w:ascii="Arial" w:cs="Arial" w:eastAsia="Arial" w:hAnsi="Arial"/>
          <w:sz w:val="18"/>
          <w:szCs w:val="18"/>
          <w:color w:val="auto"/>
        </w:rPr>
      </w:pPr>
    </w:p>
    <w:p>
      <w:pPr>
        <w:ind w:left="880" w:right="460" w:hanging="224"/>
        <w:spacing w:after="0" w:line="24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including if others obtain patents claiming subject matter similar to or improving that covered by our patents and patent applications.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Should any of these or similar events occur, they could significantly harm our business, results of operations and prospects.</w:t>
      </w:r>
    </w:p>
    <w:p>
      <w:pPr>
        <w:spacing w:after="0" w:line="298"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8"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29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We are currently party to an in-license agreement under which we were granted rights to manufacture certain components of our product candidates. If we breach our obligations under these agreements, we may be required to pay damages, lose our rights to these technologies or both, which would adversely affect our business and prospects.</w:t>
      </w:r>
    </w:p>
    <w:p>
      <w:pPr>
        <w:spacing w:after="0" w:line="8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rely, in part, on license and other strategic agreements, which subject us to various obligations, including payment obligations for achievement of certain milestones on product sales. For example, with respect to SBT6050, we have licensed a cell line to manufacture these products under an agreement with WuXi Biologics. If we fail to comply with the obligations under our license agreements, including as a result of COVID-19 impacting our operations, or use the intellectual property licensed to us in an unauthorized manner, we may be required to pay damages and our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licensors may have the right to terminate the license. If our license agreements are terminated, we may experience significant delays, difficulties, and costs in developing new cell lines and identifying an alternative source to manufacture components of our candidate products covered by our agreements and those being tested or approved in combination with such products. Such an occurrence could materially adversely affect the value of the product candidates being developed under any such agreement.</w:t>
      </w:r>
    </w:p>
    <w:p>
      <w:pPr>
        <w:spacing w:after="0" w:line="20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202"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We control the prosecution of patents resulting from licensed technology. In the event we breach any of our obligations related to such prosecution, we may incur significant liability to our licensing partners. Licensing of intellectual property involves complex legal, business and scientific issues and is complicated by the rapid pace of scientific discovery in our industry. Disputes may arise regarding intellectual property subject to a licensing agreement, including:</w:t>
      </w:r>
    </w:p>
    <w:p>
      <w:pPr>
        <w:spacing w:after="0" w:line="110" w:lineRule="exact"/>
        <w:rPr>
          <w:sz w:val="20"/>
          <w:szCs w:val="20"/>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880" w:right="680" w:hanging="224"/>
        <w:spacing w:after="0" w:line="24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880" w:right="500" w:hanging="224"/>
        <w:spacing w:after="0" w:line="24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us alone or with our licensors and partners;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and duration of our payment obligations;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2"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are described herein. If we or our licensor fail to adequately protect this intellectual property, our ability to develop, manufacture, or commercialize products could suffer.</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05"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the relevant research programs or product candidates and our business, financial condition, results of operations and prospects could suffer.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b w:val="1"/>
          <w:bCs w:val="1"/>
          <w:i w:val="1"/>
          <w:iCs w:val="1"/>
          <w:color w:val="auto"/>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p>
    <w:p>
      <w:pPr>
        <w:spacing w:after="0" w:line="8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currently own intellectual property directed to our product candidates and other proprietary technologies. Other pharmaceutical companies and academic institutions may also have filed or are planning to file patent applications potentially relevant to our business. From time to time, in order to avoid infringing these third-party patents,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 The inability to obtain any third-party license required to develop or commercialize any of our product candidates could cause us to abandon any related efforts, which could seriously harm our business and operations.</w:t>
      </w:r>
    </w:p>
    <w:p>
      <w:pPr>
        <w:spacing w:after="0" w:line="20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third-party intellectual property rights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20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Moreover, some of our owned and in-licensed patents or patent applications or future patents are or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Furthermore, our owned and in-licensed patents may be subject to a reservation of rights by one or more third parties. Any of the foregoing could have a material adverse effect on our competitive position, business, financial conditions, results of operations and prospects.</w:t>
      </w:r>
    </w:p>
    <w:p>
      <w:pPr>
        <w:spacing w:after="0" w:line="289"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our product candidates.</w:t>
      </w:r>
    </w:p>
    <w:p>
      <w:pPr>
        <w:spacing w:after="0" w:line="68"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without infringing the intellectual property and other proprietary rights of third parties. Third parties may allege that we have infringed or misappropriated their intellectual property. 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Uncertainties resulting from the initiation and continuation of patent litigation or other proceedings could have a material adverse effect on our ability to compete in the marketplace.</w:t>
      </w:r>
    </w:p>
    <w:p>
      <w:pPr>
        <w:spacing w:after="0" w:line="197"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products candidates. We cannot be certain that our product candidates and other proprietary technologies we may develop will not infringe existing or future patents owned by third parties. Third parties may assert infringement claims against us based on existing or future intellectual property rights. For example, we have identified certain third party patents that may be asserted against us with respect to our lead product SBT6050. These patents may expire prior to commercial launch of SBT6050, if approved. We believe that the relevant claims of these third party patents are likely invalid or unenforceable, and we may choose to challenge those patents, though the outcome of any challenge that we may initiate in the future is uncertain. We may also decide in the future to seek a license to those third party patents, but we might not be able to do so on reasonable terms. Proving invalidity may be difficult. For example, in the United States, proving invalidity in court requires a showing of clear and convincing evidence to overcome the presumption of validity enjoyed by issued patents. If we are found to infringe a third party’s intellectual property rights, we could be forced, including by court order, to cease developing, manufacturing or commercializing the infringing candidate product or product. Alternatively, we may be required to obtain a license from such third party in order to use the infringing technology and continue developing, manufacturing or marketing the infringing candidate product or product.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investigational products or force us to cease some of our business operations, which could materially harm our business.</w:t>
      </w:r>
    </w:p>
    <w:p>
      <w:pPr>
        <w:spacing w:after="0" w:line="21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may not be aware of patents that have already been issued and that a third party, for example, a competitor in the fields in which we are developing our product candidates, might assert are infringed by our current or future product candidates, including claims to compositions, formulations, methods of manufacture or methods of use or treatment that cover our product candidates. It is also possible that patents owned by third parties of which we are aware, but which we do not believe are relevant to our product candidates and other proprietary technologies we may develop, could be found to be infringed by our product candidate. In addition, because patent applications can take many years to issue, there may be currently pending patent applications that may later result in issued patents that our product candidates may infringe.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The pharmaceutical and biotechnology industries have produced a considerable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and there is no assurance that a court of competent jurisdiction would invalidate the claims of any such U.S. patent. Even if we are successful in these proceedings, we may incur substantial costs and the time and attention of our management and scientific personnel could be diverted in pursuing these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proceedings, which could have a material adverse effect on our business and operations. Furthermore, because of the substantial amount of discovery required in connection with intellectual property litigation, there is a risk that some of our confidential information could be compromised by disclosure during litigation. In addition, we may not have sufficient resources to bring these actions to a successful conclusion.</w:t>
      </w:r>
    </w:p>
    <w:p>
      <w:pPr>
        <w:spacing w:after="0" w:line="205"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 xml:space="preserve">We may choose to challenge the enforceability or validity of claims in a third party’s U.S. patent by requesting that the USPTO review the patent claims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0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and could divert the time and attention of our technical personnel and management, cause development delays, and/or require us to develop non-infringing technology, which may not be possible on a cost-effective basis, any of which could materially harm our business. In the event of a successful claim of infringement against us, we may have to pay substantial monetary damages, including treble damages and attorneys’ fees for willful infringement, pay royalties and other fees, redesign our infringing drug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spacing w:after="0" w:line="289"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Competitors or other third parties may infringe our patents, trademarks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9"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§271I(1).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0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93"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technology or other product candidates, or enter into development partnerships that would help us bring our product candidates to market.</w:t>
      </w:r>
    </w:p>
    <w:p>
      <w:pPr>
        <w:spacing w:after="0" w:line="29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w:t>
      </w:r>
    </w:p>
    <w:p>
      <w:pPr>
        <w:spacing w:after="0" w:line="68"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spacing w:after="0" w:line="294"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68" w:lineRule="exact"/>
        <w:rPr>
          <w:sz w:val="20"/>
          <w:szCs w:val="20"/>
          <w:color w:val="auto"/>
        </w:rPr>
      </w:pPr>
    </w:p>
    <w:p>
      <w:pPr>
        <w:ind w:left="120" w:firstLine="551"/>
        <w:spacing w:after="0" w:line="250" w:lineRule="auto"/>
        <w:rPr>
          <w:sz w:val="20"/>
          <w:szCs w:val="20"/>
          <w:color w:val="auto"/>
        </w:rPr>
      </w:pPr>
      <w:r>
        <w:rPr>
          <w:rFonts w:ascii="Arial" w:cs="Arial" w:eastAsia="Arial" w:hAnsi="Arial"/>
          <w:sz w:val="17"/>
          <w:szCs w:val="17"/>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and may diminish our ability to protect our inventions, obtain, maintain, and enforce our intellectual property rights and, more generally, could affect the value of our intellectual property or narrow the scope of our owned and licensed patents. Patent reform legislation in the United States and other countries, including the Leahy-Smith America Invents Act (the Leathy-Smith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398"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After March 2013, under the Leahy-Smith Act, the United States transitioned to a first inventor to file system in which, assuming that the other statutory requirements are met, the first inventor to file a</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0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 xml:space="preserve">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Arial" w:cs="Arial" w:eastAsia="Arial" w:hAnsi="Arial"/>
          <w:sz w:val="18"/>
          <w:szCs w:val="18"/>
          <w:i w:val="1"/>
          <w:iCs w:val="1"/>
          <w:color w:val="auto"/>
        </w:rPr>
        <w:t>Assoc. for Molecular Pathology v. Myriad Genetics, Inc.</w:t>
      </w:r>
      <w:r>
        <w:rPr>
          <w:rFonts w:ascii="Arial" w:cs="Arial" w:eastAsia="Arial" w:hAnsi="Arial"/>
          <w:sz w:val="18"/>
          <w:szCs w:val="18"/>
          <w:color w:val="auto"/>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w:t>
      </w:r>
    </w:p>
    <w:p>
      <w:pPr>
        <w:spacing w:after="0" w:line="293" w:lineRule="exact"/>
        <w:rPr>
          <w:sz w:val="20"/>
          <w:szCs w:val="20"/>
          <w:color w:val="auto"/>
        </w:rPr>
      </w:pPr>
    </w:p>
    <w:p>
      <w:pPr>
        <w:jc w:val="both"/>
        <w:ind w:left="120" w:right="460"/>
        <w:spacing w:after="0" w:line="25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8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including due to the effect of the COVID-19 pandemic on us or our patent maintenance vendors,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b w:val="1"/>
          <w:bCs w:val="1"/>
          <w:i w:val="1"/>
          <w:iCs w:val="1"/>
          <w:color w:val="auto"/>
        </w:rPr>
        <w:t>We may rely on trade secret and proprietary know-how which can be difficult to trace and enforce and, if we are unable to protect the confidentiality of our trade secrets, our business and competitive position would be harmed.</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spacing w:after="0" w:line="205"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Trade secrets and know-how can be difficult to protect. We require our employees to enter into written employment agreements containing provisions of confidentiality and obligations to assign to us any inventions generated in the course of their employment. We and any third parties with whom we share facilities enter into written agreements that include confidentiality and intellectual property obligations to protect each party’s property, potential trade secrets, proprietary know-how, and information.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We cannot be certain that our trade secrets and other confidential proprietary information will not be disclosed or that competitors will not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Further,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harmed.</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become subject to claims challenging the inventorship or ownership of our patents and other intellectual property.</w:t>
      </w:r>
    </w:p>
    <w:p>
      <w:pPr>
        <w:spacing w:after="0" w:line="126" w:lineRule="exact"/>
        <w:rPr>
          <w:sz w:val="20"/>
          <w:szCs w:val="20"/>
          <w:color w:val="auto"/>
        </w:rPr>
      </w:pPr>
    </w:p>
    <w:p>
      <w:pPr>
        <w:ind w:left="120" w:right="400" w:firstLine="551"/>
        <w:spacing w:after="0" w:line="246"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The failure to name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07" w:lineRule="exact"/>
        <w:rPr>
          <w:sz w:val="20"/>
          <w:szCs w:val="20"/>
          <w:color w:val="auto"/>
        </w:rPr>
      </w:pPr>
    </w:p>
    <w:p>
      <w:pPr>
        <w:ind w:left="120" w:right="500" w:firstLine="551"/>
        <w:spacing w:after="0" w:line="238" w:lineRule="auto"/>
        <w:rPr>
          <w:sz w:val="20"/>
          <w:szCs w:val="20"/>
          <w:color w:val="auto"/>
        </w:rPr>
      </w:pPr>
      <w:r>
        <w:rPr>
          <w:rFonts w:ascii="Arial" w:cs="Arial" w:eastAsia="Arial" w:hAnsi="Arial"/>
          <w:sz w:val="18"/>
          <w:szCs w:val="18"/>
          <w:color w:val="auto"/>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0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26" w:lineRule="exact"/>
        <w:rPr>
          <w:sz w:val="20"/>
          <w:szCs w:val="20"/>
          <w:color w:val="auto"/>
        </w:rPr>
      </w:pPr>
    </w:p>
    <w:p>
      <w:pPr>
        <w:ind w:left="120" w:right="20" w:firstLine="551"/>
        <w:spacing w:after="0" w:line="250" w:lineRule="auto"/>
        <w:rPr>
          <w:sz w:val="20"/>
          <w:szCs w:val="20"/>
          <w:color w:val="auto"/>
        </w:rPr>
      </w:pPr>
      <w:r>
        <w:rPr>
          <w:rFonts w:ascii="Arial" w:cs="Arial" w:eastAsia="Arial" w:hAnsi="Arial"/>
          <w:sz w:val="17"/>
          <w:szCs w:val="17"/>
          <w:color w:val="auto"/>
        </w:rPr>
        <w:t>Patent rights are of limited duration. In the United States, if all maintenance fees are paid timely, the natural expiration of a patent is generally 20 years after its first effective filing date.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As a result, our patent portfolio may not provide us with sufficient rights to exclude others from commercializing product candidates similar or identical to ours. Upon issuance in the United States, the term of a patent can be increased by patent term adjustment, which is based on certain delays caused by the USPTO, but this increase can be reduced or eliminated based on certain delays caused by the patent applicant during patent prosecution. The term of a United States patent may also be shortened if the patent is terminally disclaimed over an earlier-filed patent. A patent term extension (PTE) based on regulatory delay may be available in the United States. However, only a single patent can be extended for each marketing approval, and any patent can be extended only once, for a single product. Moreover, the scope of protection during the period of the PTE does not extend to the full scope of the claim, but instead only to the scope of the product as approved. Laws governing analogous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expiration of relevant patents or otherwise fail to satisfy applicable requirements. If we are unable to obtain PTE or restoration,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w:t>
      </w:r>
    </w:p>
    <w:p>
      <w:pPr>
        <w:spacing w:after="0" w:line="288"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204"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212"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An active trading market for our common stock may not continue to be developed or be sustained, which may make it difficult for you to sell your shares.</w:t>
      </w:r>
    </w:p>
    <w:p>
      <w:pPr>
        <w:spacing w:after="0" w:line="68"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Prior to our initial public offering in December 2020, there had been no public market for our common stock. The trading market for our common stock on The Nasdaq Global Market has been limited and an active trading market for our shares may not be sustained. If an active market for our common stock is not sustained, it may be difficult for you to sell your shares at a price that is attractive to you, or at all.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common stock could be subject to volatility related or unrelated to our operations.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stock price may be volatile. The stock market in general and the market for biotechnology and pharmaceutical companies, in particular, have experienced extreme volatility that has often been unrelated to the operating performance of particular companies. As a result of this volatility, you may not be able to sell your shares at a price that is attractive to you, or at all. The market price for our common stock may be influenced by numerous factors, many of which are beyond our control, including:</w:t>
      </w:r>
    </w:p>
    <w:p>
      <w:pPr>
        <w:spacing w:after="0" w:line="110" w:lineRule="exact"/>
        <w:rPr>
          <w:sz w:val="20"/>
          <w:szCs w:val="20"/>
          <w:color w:val="auto"/>
        </w:rPr>
      </w:pPr>
    </w:p>
    <w:p>
      <w:pPr>
        <w:ind w:left="880" w:right="920" w:hanging="224"/>
        <w:spacing w:after="0" w:line="24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from our ongoing clinical trials and future clinical trials with our current and future product candidates or of our competitors;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adverse results or delays in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to commercialize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unanticipated serious safety concerns related to immuno-oncology or related to the use of our product candidates;</w:t>
      </w:r>
    </w:p>
    <w:p>
      <w:pPr>
        <w:spacing w:after="0" w:line="117"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02" w:lineRule="exact"/>
        <w:rPr>
          <w:rFonts w:ascii="Arial" w:cs="Arial" w:eastAsia="Arial" w:hAnsi="Arial"/>
          <w:sz w:val="18"/>
          <w:szCs w:val="18"/>
          <w:color w:val="auto"/>
        </w:rPr>
      </w:pPr>
    </w:p>
    <w:p>
      <w:pPr>
        <w:ind w:left="880" w:right="16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expenses related to future product candidates or clinical development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failure to achieve product development goals in the timeframe we announce;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size of our market float;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political uncertainty and/or instability in the United States;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ongoing and future impact of the COVID-19 pandemic and actions taken to slow its spread;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events or factors discussed in this report.</w:t>
      </w:r>
    </w:p>
    <w:p>
      <w:pPr>
        <w:spacing w:after="0" w:line="21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immune-oncology companies. Stock prices of many immune-oncology companies have fluctuated in a manner unrelated or disproportionate to the operating performance of those companies. The trading prices for common stock of other biopharmaceutical companies have also been highly volatile as a result of the COVID-19 pandemic. In the past, stockholders have filed securities class action lawsuits following periods of market volatility. If such securities litigation were instituted against us, it could subject us to substantial costs, divert resources and the attention of management from our business, and adversely affect our business.</w:t>
      </w:r>
    </w:p>
    <w:p>
      <w:pPr>
        <w:spacing w:after="0" w:line="289"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Certain of our executive officers, directors and large stockholders own a significant percentage of our outstanding capital stock. As a result of their share ownership, these stockholders will have the ability to influence us through their ownership positions. These stockholders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there are substantial sales of shares of our common stock, the price of our common stock could decline.</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As of February 28, 2021, we had 34,894,423 outstanding shares of our common stock. Of these shares, approximately 13.1 million shares are freely tradable and substantially all of the remaining shares of common stock will be available for sale in the public market beginning in June 2021 following the scheduled expiration of lock-up agreements that certain of our stockholders and the underwriters entered into in connection with our initial public offering.</w:t>
      </w:r>
    </w:p>
    <w:p>
      <w:pPr>
        <w:spacing w:after="0" w:line="205"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Goldman Sachs &amp; Co. LLC, SVB Leerink LLC and Stifel, Nicolaus &amp; Company, Incorporated may release these stockholders from their lock-up agreements with the underwriters at any time and without notice, which would allow for earlier sales of shares in the public market.</w:t>
      </w:r>
    </w:p>
    <w:p>
      <w:pPr>
        <w:spacing w:after="0" w:line="203" w:lineRule="exact"/>
        <w:rPr>
          <w:sz w:val="20"/>
          <w:szCs w:val="20"/>
          <w:color w:val="auto"/>
        </w:rPr>
      </w:pPr>
    </w:p>
    <w:p>
      <w:pPr>
        <w:ind w:left="120" w:right="100" w:firstLine="551"/>
        <w:spacing w:after="0" w:line="274"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261"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83" w:lineRule="exact"/>
        <w:rPr>
          <w:sz w:val="20"/>
          <w:szCs w:val="20"/>
          <w:color w:val="auto"/>
        </w:rPr>
      </w:pPr>
    </w:p>
    <w:p>
      <w:pPr>
        <w:ind w:left="120" w:right="600" w:firstLine="551"/>
        <w:spacing w:after="0" w:line="246" w:lineRule="auto"/>
        <w:rPr>
          <w:sz w:val="20"/>
          <w:szCs w:val="20"/>
          <w:color w:val="auto"/>
        </w:rPr>
      </w:pPr>
      <w:r>
        <w:rPr>
          <w:rFonts w:ascii="Arial" w:cs="Arial" w:eastAsia="Arial" w:hAnsi="Arial"/>
          <w:sz w:val="18"/>
          <w:szCs w:val="18"/>
          <w:color w:val="auto"/>
        </w:rPr>
        <w:t>Additional capital will be needed in the future to continue our planned operations. To the extent we raise additional capital by issuing equity securities, our stockholders may experience substantial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205"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Pursuant to our 2020 Plan, our management is authorized to grant stock options and other equity-based awards to our employees, directors and consultants. The number of shares of our common stock reserved for issuance under our 2020 Plan will automatically increase on January 1 of each calendar year, starting on January 1, 2021 through January 1, 2030, in an amount equal to the lesser of (i) 5.0% of the total number of shares of our common stock outstanding on the last day of the calendar month before the date of each automatic increase; or (ii) a lesser number of shares determined by our board of directors prior to the applicable January 1st. If our board of directors elects to increase the number of shares available for future grant by the maximum amount each year, our stockholders may experience additional dilution, which could cause our stock price to fall.</w:t>
      </w:r>
    </w:p>
    <w:p>
      <w:pPr>
        <w:spacing w:after="0" w:line="289"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2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8" w:lineRule="exact"/>
        <w:rPr>
          <w:sz w:val="20"/>
          <w:szCs w:val="20"/>
          <w:color w:val="auto"/>
        </w:rPr>
      </w:pPr>
    </w:p>
    <w:p>
      <w:pPr>
        <w:ind w:left="120" w:right="260" w:firstLine="551"/>
        <w:spacing w:after="0" w:line="274" w:lineRule="auto"/>
        <w:rPr>
          <w:sz w:val="20"/>
          <w:szCs w:val="20"/>
          <w:color w:val="auto"/>
        </w:rPr>
      </w:pPr>
      <w:r>
        <w:rPr>
          <w:rFonts w:ascii="Arial" w:cs="Arial" w:eastAsia="Arial" w:hAnsi="Arial"/>
          <w:sz w:val="17"/>
          <w:szCs w:val="17"/>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80" w:lineRule="exact"/>
        <w:rPr>
          <w:sz w:val="20"/>
          <w:szCs w:val="20"/>
          <w:color w:val="auto"/>
        </w:rPr>
      </w:pPr>
    </w:p>
    <w:p>
      <w:pPr>
        <w:ind w:left="880" w:right="16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08"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02" w:lineRule="exact"/>
        <w:rPr>
          <w:rFonts w:ascii="Arial" w:cs="Arial" w:eastAsia="Arial" w:hAnsi="Arial"/>
          <w:sz w:val="18"/>
          <w:szCs w:val="18"/>
          <w:color w:val="auto"/>
        </w:rPr>
      </w:pPr>
    </w:p>
    <w:p>
      <w:pPr>
        <w:ind w:left="880" w:right="26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or obtain stockholder approval of any golden parachute payments not previously approved.</w:t>
      </w:r>
    </w:p>
    <w:p>
      <w:pPr>
        <w:spacing w:after="0" w:line="19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as an “emerging growth company” the JOBS Act allows us to delay adoption of new or revised accounting pronouncements applicable to public companies until such pronouncements are made applicable to private companies, unless we later irrevocably elect not to avail ourselves of this exemption.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w:t>
      </w:r>
    </w:p>
    <w:p>
      <w:pPr>
        <w:ind w:left="120"/>
        <w:spacing w:after="0" w:line="234" w:lineRule="auto"/>
        <w:rPr>
          <w:sz w:val="20"/>
          <w:szCs w:val="20"/>
          <w:color w:val="auto"/>
        </w:rPr>
      </w:pPr>
      <w:r>
        <w:rPr>
          <w:rFonts w:ascii="Arial" w:cs="Arial" w:eastAsia="Arial" w:hAnsi="Arial"/>
          <w:sz w:val="18"/>
          <w:szCs w:val="18"/>
          <w:color w:val="auto"/>
        </w:rPr>
        <w:t>investors find our common stock less attractive as a result, there may be a less active trading market for our common stock and our stock</w:t>
      </w:r>
    </w:p>
    <w:p>
      <w:pPr>
        <w:ind w:left="120"/>
        <w:spacing w:after="0" w:line="235" w:lineRule="auto"/>
        <w:rPr>
          <w:sz w:val="20"/>
          <w:szCs w:val="20"/>
          <w:color w:val="auto"/>
        </w:rPr>
      </w:pPr>
      <w:r>
        <w:rPr>
          <w:rFonts w:ascii="Arial" w:cs="Arial" w:eastAsia="Arial" w:hAnsi="Arial"/>
          <w:sz w:val="18"/>
          <w:szCs w:val="18"/>
          <w:color w:val="auto"/>
        </w:rPr>
        <w:t>price may be more volatile. We may take advantage of these reporting exemptions until we are no longer an emerging growth company.</w:t>
      </w:r>
    </w:p>
    <w:p>
      <w:pPr>
        <w:ind w:left="120"/>
        <w:spacing w:after="0" w:line="235"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at least</w:t>
      </w:r>
    </w:p>
    <w:p>
      <w:pPr>
        <w:ind w:left="120"/>
        <w:spacing w:after="0" w:line="235" w:lineRule="auto"/>
        <w:rPr>
          <w:sz w:val="20"/>
          <w:szCs w:val="20"/>
          <w:color w:val="auto"/>
        </w:rPr>
      </w:pPr>
      <w:r>
        <w:rPr>
          <w:rFonts w:ascii="Arial" w:cs="Arial" w:eastAsia="Arial" w:hAnsi="Arial"/>
          <w:sz w:val="18"/>
          <w:szCs w:val="18"/>
          <w:color w:val="auto"/>
        </w:rPr>
        <w:t>$1.07 billion in annual revenue; (ii) the last day of the fiscal year in which we are deemed to be a “large accelerated filer,” as defined in</w:t>
      </w:r>
    </w:p>
    <w:p>
      <w:pPr>
        <w:ind w:left="120"/>
        <w:spacing w:after="0" w:line="235" w:lineRule="auto"/>
        <w:rPr>
          <w:sz w:val="20"/>
          <w:szCs w:val="20"/>
          <w:color w:val="auto"/>
        </w:rPr>
      </w:pPr>
      <w:r>
        <w:rPr>
          <w:rFonts w:ascii="Arial" w:cs="Arial" w:eastAsia="Arial" w:hAnsi="Arial"/>
          <w:sz w:val="18"/>
          <w:szCs w:val="18"/>
          <w:color w:val="auto"/>
        </w:rPr>
        <w:t>Rule 12b-2 under the Securities Exchange Act of 1934, as amended (the Exchange Act); (iii) the date on which we have issued more than</w:t>
      </w:r>
    </w:p>
    <w:p>
      <w:pPr>
        <w:ind w:left="120"/>
        <w:spacing w:after="0"/>
        <w:rPr>
          <w:sz w:val="20"/>
          <w:szCs w:val="20"/>
          <w:color w:val="auto"/>
        </w:rPr>
      </w:pPr>
      <w:r>
        <w:rPr>
          <w:rFonts w:ascii="Arial" w:cs="Arial" w:eastAsia="Arial" w:hAnsi="Arial"/>
          <w:sz w:val="18"/>
          <w:szCs w:val="18"/>
          <w:color w:val="auto"/>
        </w:rPr>
        <w:t>$1.0 billion in nonconvertible debt securities during the prior three-year period; and (iv) December 31, 2025.</w:t>
      </w:r>
    </w:p>
    <w:p>
      <w:pPr>
        <w:spacing w:after="0" w:line="298"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68"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restated bylaws contain provisions that may make the acquisition of our company more difficult, including the following:</w:t>
      </w:r>
    </w:p>
    <w:p>
      <w:pPr>
        <w:spacing w:after="0" w:line="117" w:lineRule="exact"/>
        <w:rPr>
          <w:sz w:val="20"/>
          <w:szCs w:val="20"/>
          <w:color w:val="auto"/>
        </w:rPr>
      </w:pPr>
    </w:p>
    <w:p>
      <w:pPr>
        <w:ind w:left="880" w:right="580" w:hanging="224"/>
        <w:spacing w:after="0" w:line="246"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02" w:lineRule="exact"/>
        <w:rPr>
          <w:rFonts w:ascii="Arial" w:cs="Arial" w:eastAsia="Arial" w:hAnsi="Arial"/>
          <w:sz w:val="18"/>
          <w:szCs w:val="18"/>
          <w:color w:val="auto"/>
        </w:rPr>
      </w:pPr>
    </w:p>
    <w:p>
      <w:pPr>
        <w:jc w:val="both"/>
        <w:ind w:left="880" w:right="2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08" w:lineRule="exact"/>
        <w:rPr>
          <w:rFonts w:ascii="Arial" w:cs="Arial" w:eastAsia="Arial" w:hAnsi="Arial"/>
          <w:sz w:val="18"/>
          <w:szCs w:val="18"/>
          <w:color w:val="auto"/>
        </w:rPr>
      </w:pPr>
    </w:p>
    <w:p>
      <w:pPr>
        <w:ind w:left="880" w:right="12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08" w:lineRule="exact"/>
        <w:rPr>
          <w:rFonts w:ascii="Arial" w:cs="Arial" w:eastAsia="Arial" w:hAnsi="Arial"/>
          <w:sz w:val="18"/>
          <w:szCs w:val="18"/>
          <w:color w:val="auto"/>
        </w:rPr>
      </w:pPr>
    </w:p>
    <w:p>
      <w:pPr>
        <w:ind w:left="880" w:right="620" w:hanging="224"/>
        <w:spacing w:after="0" w:line="246"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02" w:lineRule="exact"/>
        <w:rPr>
          <w:rFonts w:ascii="Arial" w:cs="Arial" w:eastAsia="Arial" w:hAnsi="Arial"/>
          <w:sz w:val="18"/>
          <w:szCs w:val="18"/>
          <w:color w:val="auto"/>
        </w:rPr>
      </w:pPr>
    </w:p>
    <w:p>
      <w:pPr>
        <w:ind w:left="880" w:right="12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08"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acquirer to affect such amendments to facilitate an unsolicited takeover attempt; and</w:t>
      </w:r>
    </w:p>
    <w:p>
      <w:pPr>
        <w:spacing w:after="0" w:line="110" w:lineRule="exact"/>
        <w:rPr>
          <w:rFonts w:ascii="Arial" w:cs="Arial" w:eastAsia="Arial" w:hAnsi="Arial"/>
          <w:sz w:val="18"/>
          <w:szCs w:val="18"/>
          <w:color w:val="auto"/>
        </w:rPr>
      </w:pPr>
    </w:p>
    <w:p>
      <w:pPr>
        <w:ind w:left="880" w:right="10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202" w:lineRule="exact"/>
        <w:rPr>
          <w:sz w:val="20"/>
          <w:szCs w:val="20"/>
          <w:color w:val="auto"/>
        </w:rPr>
      </w:pPr>
    </w:p>
    <w:p>
      <w:pPr>
        <w:jc w:val="both"/>
        <w:ind w:left="120" w:right="160" w:firstLine="551"/>
        <w:spacing w:after="0" w:line="248"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w:t>
      </w:r>
    </w:p>
    <w:p>
      <w:pPr>
        <w:spacing w:after="0" w:line="2"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The existence of these provisions could negatively affect the price of our common stock and limit opportunities for you to realize value in a corporate transaction.</w:t>
      </w:r>
    </w:p>
    <w:p>
      <w:pPr>
        <w:spacing w:after="0" w:line="283"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courts the State of Delaware or, if no state court located within the State of Delaware has jurisdiction, the federal court for the District of Delaware, and the federal district courts of the United States of America to be the exclusive forums for certain types of actions and proceedings that may be initiated by our stockholders, which could discourage lawsuits against our company and our directors, officers and employees.</w:t>
      </w:r>
    </w:p>
    <w:p>
      <w:pPr>
        <w:spacing w:after="0" w:line="88"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Our amended and restated certificate of incorporation provides that, to the fullest extent permitted by law, unless we consent in writing to the selection of an alternative forum, the Court of Chancery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provided, that, this provision would not apply to suits brought to enforce a duty or liability created by the Exchange Act, or any other claim for which the federal courts have exclusive jurisdiction.</w:t>
      </w:r>
    </w:p>
    <w:p>
      <w:pPr>
        <w:spacing w:after="0" w:line="203" w:lineRule="exact"/>
        <w:rPr>
          <w:sz w:val="20"/>
          <w:szCs w:val="20"/>
          <w:color w:val="auto"/>
        </w:rPr>
      </w:pPr>
    </w:p>
    <w:p>
      <w:pPr>
        <w:jc w:val="both"/>
        <w:ind w:left="120" w:right="280" w:firstLine="551"/>
        <w:spacing w:after="0" w:line="261" w:lineRule="auto"/>
        <w:rPr>
          <w:sz w:val="20"/>
          <w:szCs w:val="20"/>
          <w:color w:val="auto"/>
        </w:rPr>
      </w:pPr>
      <w:r>
        <w:rPr>
          <w:rFonts w:ascii="Arial" w:cs="Arial" w:eastAsia="Arial" w:hAnsi="Arial"/>
          <w:sz w:val="17"/>
          <w:szCs w:val="17"/>
          <w:color w:val="auto"/>
        </w:rPr>
        <w:t>In addition, our amended and restated certificate of incorporation provides that, to the fullest extent permitted by law, the federal district courts of the United States of America will be the exclusive forum for resolving any complaint asserting a cause of action arising under the Securities Act of 1933, as amended (the Securities Act), unless we consent in writing to the selection of an alternative forum.</w:t>
      </w:r>
    </w:p>
    <w:p>
      <w:pPr>
        <w:spacing w:after="0" w:line="186"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and may discourage these types of lawsuits,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212"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We incur significantly increased costs as a result of operating as a public company, and our management is required to devote substantial time to new compliance initiatives.</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As a public company listed on the Nasdaq Global Market, we incur significant legal, accounting and other expenses that we did not incur as a private company. In addition, the Sarbanes-Oxley Act, as well as rules subsequently implemented by the SEC, and the Nasdaq Global Market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smaller “emerging growth companies” to implement many of these requirements over a longer period and up to five years from the pricing of our initial public offering. We intend to continue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8"/>
          <w:szCs w:val="18"/>
          <w:color w:val="auto"/>
        </w:rPr>
        <w:t>disclosure obligations, which may lead to additional compliance costs and impact the manner in which we operate our business in ways we cannot currently anticipate. Our management and other personnel need to devote a substantial amount of time to these compliance initiatives. Moreover, these rules and regulations increase our legal and financial compliance costs and make some activities more time-consuming and costlier. For example, these rules and regulations make it more difficult and more expensive for us to obtain director and officer liability insurance and we are required to incur substantial costs to maintain our current levels of such coverage.</w:t>
      </w:r>
    </w:p>
    <w:p>
      <w:pPr>
        <w:spacing w:after="0" w:line="288"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If we fail to maintain effective disclosure controls and internal control over financial reporting, our ability to produce timely and accurate financial statements or comply with applicable regulations could be impaired.</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As a public company, we are subject to requirements of the Sarbanes-Oxley Act, the rules and regulations of the Nasdaq Global Market, the rules and regulations of the Securities and Exchange Commission. We expect that the requirements of these rules and regulations will continue to increase our legal, accounting and financial compliance costs, make some activities more difficult, time-consuming and costly and place significant strain on our personnel, systems and resources. Company responsibilities required by the Sarbanes-Oxley Act include, among other things, that we maintain corporate oversight and adequate internal control over financial reporting and disclosure controls and procedures.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develop, maintain, and improve the effectiveness of our internal controls and procedures, and internal control over financial reporting, we have expended, and anticipate that we will continue to expend, significant resources, including accounting-related costs and significant management oversight</w:t>
      </w:r>
    </w:p>
    <w:p>
      <w:pPr>
        <w:spacing w:after="0" w:line="20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or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 Any failure to maintain effective disclosure controls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and internal control over financial reporting could have a material and adverse effect on our business, results of operations, and financial condition and could cause a decline in the trading price of our common stock.</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8"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See the section titled “Management’s Discussion and Analysis of Financial Condition and Results of Operations—Recent Accounting Pronouncements.”</w:t>
      </w:r>
    </w:p>
    <w:p>
      <w:pPr>
        <w:spacing w:after="0" w:line="294"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8"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In addition, it is uncertain if and to what extent various states will conform to the Tax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assets, could result in significant one-time charges, and could increase our future U.S. tax expense.</w:t>
      </w:r>
    </w:p>
    <w:p>
      <w:pPr>
        <w:spacing w:after="0" w:line="298"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68" w:lineRule="exact"/>
        <w:rPr>
          <w:sz w:val="20"/>
          <w:szCs w:val="20"/>
          <w:color w:val="auto"/>
        </w:rPr>
      </w:pPr>
    </w:p>
    <w:p>
      <w:pPr>
        <w:ind w:left="120" w:right="120" w:firstLine="551"/>
        <w:spacing w:after="0" w:line="251" w:lineRule="auto"/>
        <w:rPr>
          <w:sz w:val="20"/>
          <w:szCs w:val="20"/>
          <w:color w:val="auto"/>
        </w:rPr>
      </w:pPr>
      <w:r>
        <w:rPr>
          <w:rFonts w:ascii="Arial" w:cs="Arial" w:eastAsia="Arial" w:hAnsi="Arial"/>
          <w:sz w:val="17"/>
          <w:szCs w:val="17"/>
          <w:color w:val="auto"/>
        </w:rPr>
        <w:t>As a result of the COVID-19 pandemic and actions taken to slow its spread, the global credit and financial markets have recently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283"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or other contractors or consultants, may fail or suffer security breaches, loss or leakage of data, and other disruptions,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88" w:lineRule="exact"/>
        <w:rPr>
          <w:sz w:val="20"/>
          <w:szCs w:val="20"/>
          <w:color w:val="auto"/>
        </w:rPr>
      </w:pPr>
    </w:p>
    <w:p>
      <w:pPr>
        <w:ind w:left="120" w:right="320" w:firstLine="551"/>
        <w:spacing w:after="0" w:line="238"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Despite the implementation of security measures, given their size and complexity and the increasing amounts of confidential information that they maintain, our internal information technology systems and those of our third -party CROs and other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product candidates could be delayed.</w:t>
      </w:r>
    </w:p>
    <w:p>
      <w:pPr>
        <w:spacing w:after="0" w:line="206" w:lineRule="exact"/>
        <w:rPr>
          <w:sz w:val="20"/>
          <w:szCs w:val="20"/>
          <w:color w:val="auto"/>
        </w:rPr>
      </w:pPr>
    </w:p>
    <w:p>
      <w:pPr>
        <w:ind w:left="120" w:right="760" w:firstLine="551"/>
        <w:spacing w:after="0" w:line="246" w:lineRule="auto"/>
        <w:rPr>
          <w:sz w:val="20"/>
          <w:szCs w:val="20"/>
          <w:color w:val="auto"/>
        </w:rPr>
      </w:pPr>
      <w:r>
        <w:rPr>
          <w:rFonts w:ascii="Arial" w:cs="Arial" w:eastAsia="Arial" w:hAnsi="Arial"/>
          <w:sz w:val="18"/>
          <w:szCs w:val="18"/>
          <w:color w:val="auto"/>
        </w:rPr>
        <w:t>We cannot assure you that our data protection efforts and our investment in information technology will prevent significant breakdowns, data leakages, breaches in our systems or other cyber</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incidents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90"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Our headquarters and main research facility are located in Seattle, Washington, which in the past has experienced severe earthquakes and fires. If these earthquakes, fires, other natural disasters, terrorism and similar unforeseen events beyond our control prevented us from using all or a significant portion of our headquarters or research facility,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ability to conduct our clinical trials, our development plans and business.</w:t>
      </w:r>
    </w:p>
    <w:p>
      <w:pPr>
        <w:spacing w:after="0" w:line="29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8"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U.S. and foreign anti-corruption, anti-money laundering, export control, sanctions, and other trade laws and regulations, or collectively, Trade Laws, prohibit, among other things,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8"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208"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6"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18"/>
          <w:szCs w:val="18"/>
          <w:color w:val="auto"/>
        </w:rPr>
        <w:t>Patent protection is available on a national or regional level. Filing, prosecuting and defending patents throughout the world and on all of our product candidates would be prohibitively expensive. As such, our intellectual property rights outside the United States may not extend to all other possible countries outside the United States and we may not be able to prevent third parties from practicing our inventions in countries outside the United States where we do not have patent protection, or from selling in and importing products into other jurisdictions made using our inventions in such countries outside the United States. Competitors may use our technologies in jurisdictions where we have not obtained patent protection to develop their own products or technology and may export otherwise infringing products or technology to territories where we have patent protection, but enforcement rights are not as strong as those in the United States. These products may compete with our products, and our patents or other intellectual property rights may not be effective or sufficient to prevent them from competing. Further, the legal systems of certain countries particularly certain developing countries, do not favor the enforcement of patents and other intellectual property protection, particularly those relating to pharmaceuticals or biologics,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such lawsuits that we initiate and the damages and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property laws. We currently have and may in the future enter into more contract research and manufacturing relationships with organizations that operate in certain countries that are at heightened risk of theft of technology, data and intellectual property, including through direct intrusion by private parties or foreign actors, and those affiliated with or controlled by state actors. In addition, certain developing countries, including China and India, have compulsory licensing laws under which a patent owner may be compelled under certain circumstances to grant licenses to third parties at nominal or no consideration. In those countries, we and our licensors may have limited remedies if patents are infringed or if we or our licensors are compelled to grant a license to a third-party,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292"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Our corporate headquarters is located in Seattle, Washington, where we lease approximately 19,829 square feet of office, laboratory and storage space pursuant to a lease agreement that commenced on November 1, 2016 and expires on October 31, 2026. We believe that our existing facilities are adequate for the foreseeable future. As we expand, we believe that suitable additional alternative spaces will be available in the future on commercially reasonable terms, if required.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20" w:right="700"/>
        <w:spacing w:after="0" w:line="37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Our common stock has been listed on the Nasdaq Global Market under the symbol “SBTX” since December 4, 2020. Prior to that date, there was no public market for our common stock.</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 of Common Stock</w:t>
      </w:r>
    </w:p>
    <w:p>
      <w:pPr>
        <w:spacing w:after="0" w:line="126" w:lineRule="exact"/>
        <w:rPr>
          <w:sz w:val="20"/>
          <w:szCs w:val="20"/>
          <w:color w:val="auto"/>
        </w:rPr>
      </w:pPr>
    </w:p>
    <w:p>
      <w:pPr>
        <w:jc w:val="both"/>
        <w:ind w:left="120" w:right="300" w:firstLine="551"/>
        <w:spacing w:after="0"/>
        <w:rPr>
          <w:sz w:val="20"/>
          <w:szCs w:val="20"/>
          <w:color w:val="auto"/>
        </w:rPr>
      </w:pPr>
      <w:r>
        <w:rPr>
          <w:rFonts w:ascii="Arial" w:cs="Arial" w:eastAsia="Arial" w:hAnsi="Arial"/>
          <w:sz w:val="18"/>
          <w:szCs w:val="18"/>
          <w:color w:val="auto"/>
        </w:rPr>
        <w:t>As of February 28, 2021, there were 34,894,423 shares of common stock issued and held by approximately 61 stockholders of record. The actual number of stockholders is greater than this number of record holders and includes stockholders who are beneficial owners but whose shares are held in street name by brokers and other nominees.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6"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Information about securities authorized for issuance under our equity compensation plans is incorporated herein by reference to Item 12 of Part III of this Annual Report on Form 10-K.</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2020, we issued and sold the following unregistered securities:</w:t>
      </w:r>
    </w:p>
    <w:p>
      <w:pPr>
        <w:spacing w:after="0" w:line="117" w:lineRule="exact"/>
        <w:rPr>
          <w:sz w:val="20"/>
          <w:szCs w:val="20"/>
          <w:color w:val="auto"/>
        </w:rPr>
      </w:pPr>
    </w:p>
    <w:p>
      <w:pPr>
        <w:ind w:left="1300" w:hanging="644"/>
        <w:spacing w:after="0" w:line="238"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March 2020, we entered into a Series B Preferred Stock Purchase Agreement with various investors, pursuant to which we issued and sold to such investors an aggregate of 10,027,666 shares of our Series B redeemable convertible preferred stock at a purchase price of $2.16 per share, and received gross proceeds of $21.5 million and 4,673,388 shares upon conversion of then outstanding convertible notes.</w:t>
      </w:r>
    </w:p>
    <w:p>
      <w:pPr>
        <w:spacing w:after="0" w:line="110" w:lineRule="exact"/>
        <w:rPr>
          <w:rFonts w:ascii="Arial" w:cs="Arial" w:eastAsia="Arial" w:hAnsi="Arial"/>
          <w:sz w:val="18"/>
          <w:szCs w:val="18"/>
          <w:color w:val="auto"/>
        </w:rPr>
      </w:pPr>
    </w:p>
    <w:p>
      <w:pPr>
        <w:jc w:val="both"/>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July 2020, pursuant to the March 2020 Series B Preferred Stock Purchase Agreement with various investors, we issued and sold to such investors an aggregate of 10,669,834 shares of our Series B redeemable convertible preferred stock at a purchase price of $2.16 per share, and received gross proceeds of $23.0 million.</w:t>
      </w:r>
    </w:p>
    <w:p>
      <w:pPr>
        <w:spacing w:after="0" w:line="108" w:lineRule="exact"/>
        <w:rPr>
          <w:rFonts w:ascii="Arial" w:cs="Arial" w:eastAsia="Arial" w:hAnsi="Arial"/>
          <w:sz w:val="18"/>
          <w:szCs w:val="18"/>
          <w:color w:val="auto"/>
        </w:rPr>
      </w:pPr>
    </w:p>
    <w:p>
      <w:pPr>
        <w:ind w:left="1300" w:right="2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September 2020, pursuant to the March 2020 Series B Preferred Stock Purchase Agreement with various investors, we issued and sold to such investors an aggregate of 11,063,028 shares of our Series B redeemable convertible preferred stock at a purchase price of $2.16 per share, and received gross proceeds of $23.9 million.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20"/>
          </w:cols>
          <w:pgMar w:left="320" w:top="459" w:right="5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24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September 2020, we entered into a Series C Preferred Stock Purchase Agreement with various investors, pursuant to which we issued and sold to such investors an aggregate of 24,926,685 shares of our Series C redeemable convertible preferred stock at a purchase price of $3.41 per share, and received gross proceeds of $84.9 million.</w:t>
      </w:r>
    </w:p>
    <w:p>
      <w:pPr>
        <w:spacing w:after="0" w:line="108" w:lineRule="exact"/>
        <w:rPr>
          <w:rFonts w:ascii="Arial" w:cs="Arial" w:eastAsia="Arial" w:hAnsi="Arial"/>
          <w:sz w:val="18"/>
          <w:szCs w:val="18"/>
          <w:color w:val="auto"/>
        </w:rPr>
      </w:pPr>
    </w:p>
    <w:p>
      <w:pPr>
        <w:jc w:val="both"/>
        <w:ind w:left="1300" w:right="100" w:hanging="644"/>
        <w:spacing w:after="0" w:line="238"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From January 1, 2020 through December 2, 2020, which is the day before we priced our initial public offering, we granted stock options to purchase an aggregate of 3,213,541 shares of our common stock at a weighted average exercise price of $3.67 per share, to certain of our employees and directors in connection with services provided to us by such persons. Of these, 131,266 options have been exercised and 5,772 options have been cancelled through December 31, 2020.</w:t>
      </w:r>
    </w:p>
    <w:p>
      <w:pPr>
        <w:spacing w:after="0" w:line="205"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The issuance of securities described above in paragraphs (1) through (4) were deemed to be exempt from registration under the Securities Act in reliance on Section 4(a)(2) (or Regulation D promulgated thereunder) in that the issuance of securities to the accredited investors did not involve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under Rule 501 of Regulation D. No underwriters were involved in these transactions.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issuance of securities described above in paragraph (5) was deemed to be exempt from registration under the Securities Act in reliance on either Rule 701 in that the transactions were under compensatory benefit plans and contracts relating to compensation as provided under Rule 701 or Section 4(a)(2) in that the issuance of securities to the accredited investors did not involve a public offering. The recipients of such securities were our employees and directors and received the securities under our 2016 Equity Incentive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3, 2020, we commenced our initial public offering pursuant to a registration statement on Form S-1 (File</w:t>
      </w:r>
    </w:p>
    <w:p>
      <w:pPr>
        <w:ind w:left="120"/>
        <w:spacing w:after="0" w:line="236" w:lineRule="auto"/>
        <w:rPr>
          <w:sz w:val="20"/>
          <w:szCs w:val="20"/>
          <w:color w:val="auto"/>
        </w:rPr>
      </w:pPr>
      <w:r>
        <w:rPr>
          <w:rFonts w:ascii="Arial" w:cs="Arial" w:eastAsia="Arial" w:hAnsi="Arial"/>
          <w:sz w:val="18"/>
          <w:szCs w:val="18"/>
          <w:color w:val="auto"/>
        </w:rPr>
        <w:t>No. 333-250009) that was declared effective by the SEC on December 3, 2020, for 11,500,000 shares of our common stock for sale to the public at a price of $21.00 per share. In addition, in December 2020, the underwriters exercised their over-allotment option to purchase 1,725,000 additional shares of our common stock in the initial public offering at the public offering price of $21.00 per share, such that the aggregate offering price of our initial public offering was $277.7 million. The net offering proceeds to us, after deducting underwriting discounts and commissions and offering costs, were $255.3 million. No offering expenses were paid directly or indirectly to any of our directors or officers (or their associates) or persons owning 10% or more of any class of our equity securities or to any other affiliates. The underwriters for our initial public offering were Goldman Sachs &amp; Co. LLC, SVB Leerink LLC, Stifel, Nicolaus &amp; Company, Incorporated, and H.C. Wainwright &amp; Co., LLC.</w:t>
      </w:r>
    </w:p>
    <w:p>
      <w:pPr>
        <w:spacing w:after="0" w:line="208"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Upon receipt, the net proceeds from our IPO were held in cash and cash equivalents, primarily in treasury money market accounts. Through December 31, 2020, we have not used any of the net proceeds from our IPO. There has been no material change in the use of proceeds from our initial public offering as described in our final prospectus filed with the SEC pursuant to Rule 424(b)(4) on December 4,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Selected Financial Data.</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included in “Item 8. Financial Statements and Supplementary Data” in this Annual Report on Form 10-K. The following discussion contains forward-looking statements that involve risks and uncertainties. For a complete discussion of forward-looking statements, see the section above entitled “Forward Looking Statements.” Our actual results could differ materially from those expressed or implied in any forward-looking statements as a result of various factors, including those set forth under the caption “Item 1A. Risk Factors.”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are a clinical-stage biopharmaceutical company with one product candidate in a Phase 1/1b clinical trial, and we are focused on leveraging our proprietary ImmunoTAC technology platform to develop systemically delivered, tissue targeted therapeutics for the treatment of cancer, chronic viral infections, and other serious diseases. Our platform enables us to strategically pair proprietary linker-payloads that modulate key disease-modifying pathways with monoclonal antibodies directed to specific disease sites. Initially, we are applying our platform to create a new class of targeted immuno-oncology agents that direct a myeloid cell activator to the tumor microenvironment in solid tumors to promote cancer cell killing. Our lead product candidate, SBT6050, is comprised of a TLR8 agonist linker-payload conjugated to a HER2-directed monoclonal antibody that targets tumors such as certain breast, gastric and non-small cell lung cancers. SBT6050 is currently in a Phase 1/1b clinical trial as a monotherapy and in combination with pembrolizumab, in patients with advanced or metastatic HER2-expressing solid tumors. In this trial, we have observed changes in pharmacodynamic markers in the first dose cohort, and we anticipate providing an update on interim data from the Phase 1 single agent dose-escalation cohorts in the second half of 2021. SBT6290 is our second product candidate, expanding on the potential of a TLR8 agonist as a payload. SBT6290 is a TLR8 linker-payload conjugated to a monoclonal antibody that targets Nectin4, which is expressed in certain bladder, triple negative breast, head and neck, and non-small cell lung cancers. We anticipate submitting an investigational new drug application for SBT6290 in the fourth quarter of 2021. Our third TLR8 program, SBT8230, is comprised of a TLR8 linker-payload conjugated to an ASGR1 monoclonal antibody that is under development for the treatment of cHBV. We are also developing agents that localize therapies to modulate important pathways in additional oncology and fibrosis indications using TLR8 and other linker-payloads.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ImmunoTAC platform drives our development pipeline of tissue targeted therapeutic candidates as summarized in the chart</w:t>
      </w:r>
    </w:p>
    <w:p>
      <w:pPr>
        <w:ind w:left="120"/>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151765</wp:posOffset>
            </wp:positionV>
            <wp:extent cx="5168900" cy="21431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689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We have incurred significant operating losses since our inception. As of December 31, 2020, we had an accumulated deficit of $96.7 million. Our net losses were $32.9 million and $24.0 million for the years ended December 31, 2020 and 2019, respectively. Our losses have resulted primarily from costs incurred in connection with raising capital, research and development activities and general and administrative expenses. We do not have any products approved for sale and have not generated any revenue from product sales or otherwise.</w:t>
      </w:r>
    </w:p>
    <w:p>
      <w:pPr>
        <w:spacing w:after="0" w:line="20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expect our expenses will increase substantially and that we will continue to incur significant losses for the foreseeable future as we continue our development of, and seek regulatory approvals for, our product candidates and begin to commercialize any approved products, seek to expand our product pipeline, invest in our organization and technology platform, as well as incur expenses associated with operating as a public company. Our net losses may fluctuate significantly from quarter-to-quarter and year-to-year, depending on a variety of factors including the timing and scope of our preclinical studies and clinical trials. Accordingly, until such time as we can generate significant revenue from sales of our product candidates, if ever, we expect to finance our cash needs through public or private equity offerings, debt financings, collaborations and licensing arrangements or other capital sources.</w:t>
      </w:r>
    </w:p>
    <w:p>
      <w:pPr>
        <w:spacing w:after="0" w:line="203"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In December 2020, we completed our initial public offering in which we sold 13,225,000 shares of our common stock at $21.00 per share and received net proceeds, after underwriting discounts and offering costs, of $255.3 million. Further, in March, July, and September 2020, we raised net proceeds of $153.3 million from the sale of our redeemable convertible preferred stock.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expenses consist of (i) research and development expenses and (ii) general and administrative expenses.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122"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Our research and development expenses consist primarily of direct and indirect costs incurred in connection with the development of our ImmunoTAC technology platform, product candidates, discovery efforts and preclinical studies and clinical trial activities related to our program pipeline, including our lead product candidate, SBT6050.</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direct costs include:</w:t>
      </w:r>
    </w:p>
    <w:p>
      <w:pPr>
        <w:spacing w:after="0" w:line="117" w:lineRule="exact"/>
        <w:rPr>
          <w:sz w:val="20"/>
          <w:szCs w:val="20"/>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expenses incurred under agreements with CROs and other vendors that conduct our preclinical and clinical activities;</w:t>
      </w:r>
    </w:p>
    <w:p>
      <w:pPr>
        <w:spacing w:after="0" w:line="117"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expenses associated with manufacturing our product candidates including under agreements with CDMOs and other vendors;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consulting fees.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indirect costs include:</w:t>
      </w:r>
    </w:p>
    <w:p>
      <w:pPr>
        <w:spacing w:after="0" w:line="117" w:lineRule="exact"/>
        <w:rPr>
          <w:sz w:val="20"/>
          <w:szCs w:val="20"/>
          <w:color w:val="auto"/>
        </w:rPr>
      </w:pPr>
    </w:p>
    <w:p>
      <w:pPr>
        <w:ind w:left="880" w:right="260" w:hanging="224"/>
        <w:spacing w:after="0" w:line="246"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personnel-related expenses, consisting of employee salaries, bonuses, benefits, and stock-based compensation expense and recruiting costs for personnel engaged in research and development activities;</w:t>
      </w:r>
    </w:p>
    <w:p>
      <w:pPr>
        <w:spacing w:after="0" w:line="102" w:lineRule="exact"/>
        <w:rPr>
          <w:rFonts w:ascii="Arial" w:cs="Arial" w:eastAsia="Arial" w:hAnsi="Arial"/>
          <w:sz w:val="18"/>
          <w:szCs w:val="18"/>
          <w:color w:val="auto"/>
        </w:rPr>
      </w:pPr>
    </w:p>
    <w:p>
      <w:pPr>
        <w:ind w:left="880" w:right="440" w:hanging="224"/>
        <w:spacing w:after="0" w:line="246"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facility and equipment related expenses, consisting of indirect and allocated expenses for rent, depreciation, and equipment maintenance; and</w:t>
      </w:r>
    </w:p>
    <w:p>
      <w:pPr>
        <w:spacing w:after="0" w:line="102"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unallocated research and development expenses incurred in connection with our research and development programs, including laboratory materials and supplies and license fees.</w:t>
      </w:r>
    </w:p>
    <w:p>
      <w:pPr>
        <w:spacing w:after="0" w:line="197"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or stage of program basis because these costs are deployed across multiple programs and, as such, are not separately classified.</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expect that our research and development expenses will substantially increase for the foreseeable future as we continue the clinical development of SBT6050 and discovery and development of our other development candidates and discovery programs and development, particularly as our product candidates move into later stages of development which increases costs considerably. We cannot reasonably determine the timing of initiation, the duration or the completion costs of future clinical trials and preclinical studies of IND and development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development candidates and discovery programs to pursue and how much funding to direct to each product candidate or program on an ongoing basis in response to the results of ongoing and future preclinical studies and clinical trials, regulatory developments and our ongoing assessments as to each product candidate’s commercial potential.</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122" w:lineRule="exact"/>
        <w:rPr>
          <w:sz w:val="20"/>
          <w:szCs w:val="20"/>
          <w:color w:val="auto"/>
        </w:rPr>
      </w:pPr>
    </w:p>
    <w:p>
      <w:pPr>
        <w:ind w:left="120" w:right="560" w:firstLine="551"/>
        <w:spacing w:after="0" w:line="246" w:lineRule="auto"/>
        <w:rPr>
          <w:sz w:val="20"/>
          <w:szCs w:val="20"/>
          <w:color w:val="auto"/>
        </w:rPr>
      </w:pPr>
      <w:r>
        <w:rPr>
          <w:rFonts w:ascii="Arial" w:cs="Arial" w:eastAsia="Arial" w:hAnsi="Arial"/>
          <w:sz w:val="18"/>
          <w:szCs w:val="18"/>
          <w:color w:val="auto"/>
        </w:rPr>
        <w:t>General and administrative expenses consist primarily of personnel-related expenses, including employee salaries, bonuses, benefits, and stock-based compensation, and recruiting costs for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w:t>
      </w:r>
    </w:p>
    <w:p>
      <w:pPr>
        <w:spacing w:after="0" w:line="203" w:lineRule="exact"/>
        <w:rPr>
          <w:sz w:val="20"/>
          <w:szCs w:val="20"/>
          <w:color w:val="auto"/>
        </w:rPr>
      </w:pPr>
    </w:p>
    <w:p>
      <w:pPr>
        <w:ind w:left="120" w:right="320" w:firstLine="551"/>
        <w:spacing w:after="0" w:line="237" w:lineRule="auto"/>
        <w:rPr>
          <w:sz w:val="20"/>
          <w:szCs w:val="20"/>
          <w:color w:val="auto"/>
        </w:rPr>
      </w:pPr>
      <w:r>
        <w:rPr>
          <w:rFonts w:ascii="Arial" w:cs="Arial" w:eastAsia="Arial" w:hAnsi="Arial"/>
          <w:sz w:val="18"/>
          <w:szCs w:val="18"/>
          <w:color w:val="auto"/>
        </w:rPr>
        <w:t>We expect that our general and administrative expenses will substantially increase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We also expect to incur increased expenses associated with operating as a public company, including costs related to accounting, audit, legal, regulatory, and tax-related services associated with maintaining compliance with exchange listing and SEC requirements, director and officer insurance costs, and investor and public relations costs.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26" w:lineRule="exact"/>
        <w:rPr>
          <w:sz w:val="20"/>
          <w:szCs w:val="20"/>
          <w:color w:val="auto"/>
        </w:rPr>
      </w:pPr>
    </w:p>
    <w:p>
      <w:pPr>
        <w:ind w:left="120" w:right="740" w:firstLine="551"/>
        <w:spacing w:after="0" w:line="246" w:lineRule="auto"/>
        <w:rPr>
          <w:sz w:val="20"/>
          <w:szCs w:val="20"/>
          <w:color w:val="auto"/>
        </w:rPr>
      </w:pPr>
      <w:r>
        <w:rPr>
          <w:rFonts w:ascii="Arial" w:cs="Arial" w:eastAsia="Arial" w:hAnsi="Arial"/>
          <w:sz w:val="18"/>
          <w:szCs w:val="18"/>
          <w:color w:val="auto"/>
        </w:rPr>
        <w:t>Interest income (expense), net includes interest earned on our cash and cash equivalents carried at fair value, and interest expense on our borrowings.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48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3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r>
      <w:tr>
        <w:trPr>
          <w:trHeight w:val="156"/>
        </w:trPr>
        <w:tc>
          <w:tcPr>
            <w:tcW w:w="48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20" w:type="dxa"/>
            <w:vAlign w:val="bottom"/>
            <w:tcBorders>
              <w:top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10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Change</w:t>
            </w:r>
          </w:p>
        </w:tc>
        <w:tc>
          <w:tcPr>
            <w:tcW w:w="76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7"/>
              </w:rPr>
              <w:t>Change</w:t>
            </w:r>
          </w:p>
        </w:tc>
      </w:tr>
      <w:tr>
        <w:trPr>
          <w:trHeight w:val="155"/>
        </w:trPr>
        <w:tc>
          <w:tcPr>
            <w:tcW w:w="48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3"/>
          </w:tcPr>
          <w:p>
            <w:pPr>
              <w:jc w:val="right"/>
              <w:ind w:right="340"/>
              <w:spacing w:after="0" w:line="155" w:lineRule="exact"/>
              <w:rPr>
                <w:sz w:val="20"/>
                <w:szCs w:val="20"/>
                <w:color w:val="auto"/>
              </w:rPr>
            </w:pPr>
            <w:r>
              <w:rPr>
                <w:rFonts w:ascii="Arial" w:cs="Arial" w:eastAsia="Arial" w:hAnsi="Arial"/>
                <w:sz w:val="14"/>
                <w:szCs w:val="14"/>
                <w:b w:val="1"/>
                <w:bCs w:val="1"/>
                <w:color w:val="auto"/>
              </w:rPr>
              <w:t>(in thousands)</w:t>
            </w:r>
          </w:p>
        </w:tc>
        <w:tc>
          <w:tcPr>
            <w:tcW w:w="6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80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29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$ 24,577</w:t>
            </w:r>
          </w:p>
        </w:tc>
        <w:tc>
          <w:tcPr>
            <w:tcW w:w="14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$ 21,505</w:t>
            </w: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9"/>
              </w:rPr>
              <w:t>$ 3,072</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03"/>
        </w:trPr>
        <w:tc>
          <w:tcPr>
            <w:tcW w:w="4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8,341</w:t>
            </w:r>
          </w:p>
        </w:tc>
        <w:tc>
          <w:tcPr>
            <w:tcW w:w="142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2,562</w:t>
            </w: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5,779</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
        </w:trPr>
        <w:tc>
          <w:tcPr>
            <w:tcW w:w="4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8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32,918</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24,067</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8,851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r>
      <w:tr>
        <w:trPr>
          <w:trHeight w:val="27"/>
        </w:trPr>
        <w:tc>
          <w:tcPr>
            <w:tcW w:w="4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(32,918)</w:t>
            </w:r>
          </w:p>
        </w:tc>
        <w:tc>
          <w:tcPr>
            <w:tcW w:w="14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(24,067)</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(8,851)</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Interest income (expense), net</w:t>
            </w:r>
          </w:p>
        </w:tc>
        <w:tc>
          <w:tcPr>
            <w:tcW w:w="21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w:t>
            </w:r>
          </w:p>
        </w:tc>
        <w:tc>
          <w:tcPr>
            <w:tcW w:w="14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100</w:t>
            </w: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(129)</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(129)</w:t>
            </w:r>
          </w:p>
        </w:tc>
      </w:tr>
      <w:tr>
        <w:trPr>
          <w:trHeight w:val="27"/>
        </w:trPr>
        <w:tc>
          <w:tcPr>
            <w:tcW w:w="4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29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(32,947)</w:t>
            </w:r>
          </w:p>
        </w:tc>
        <w:tc>
          <w:tcPr>
            <w:tcW w:w="14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(23,967)</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(8,980)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w:t>
            </w:r>
          </w:p>
        </w:tc>
      </w:tr>
      <w:tr>
        <w:trPr>
          <w:trHeight w:val="20"/>
        </w:trPr>
        <w:tc>
          <w:tcPr>
            <w:tcW w:w="4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40" w:hanging="324"/>
        <w:spacing w:after="0"/>
        <w:tabs>
          <w:tab w:leader="none" w:pos="44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Not meaningful</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2020 and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5"/>
        </w:trPr>
        <w:tc>
          <w:tcPr>
            <w:tcW w:w="6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r>
      <w:tr>
        <w:trPr>
          <w:trHeight w:val="155"/>
        </w:trPr>
        <w:tc>
          <w:tcPr>
            <w:tcW w:w="6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Change</w:t>
            </w:r>
          </w:p>
        </w:tc>
      </w:tr>
      <w:tr>
        <w:trPr>
          <w:trHeight w:val="156"/>
        </w:trPr>
        <w:tc>
          <w:tcPr>
            <w:tcW w:w="6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4"/>
          </w:tcPr>
          <w:p>
            <w:pPr>
              <w:ind w:left="100"/>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 costs: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SBT6050</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4,710</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8,723</w:t>
            </w:r>
          </w:p>
        </w:tc>
        <w:tc>
          <w:tcPr>
            <w:tcW w:w="11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$(4,013)</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w:t>
            </w:r>
          </w:p>
        </w:tc>
      </w:tr>
      <w:tr>
        <w:trPr>
          <w:trHeight w:val="203"/>
        </w:trPr>
        <w:tc>
          <w:tcPr>
            <w:tcW w:w="6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Preclinical programs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3,811</w:t>
            </w:r>
          </w:p>
        </w:tc>
        <w:tc>
          <w:tcPr>
            <w:tcW w:w="8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166</w:t>
            </w:r>
          </w:p>
        </w:tc>
      </w:tr>
      <w:tr>
        <w:trPr>
          <w:trHeight w:val="20"/>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7"/>
        </w:trPr>
        <w:tc>
          <w:tcPr>
            <w:tcW w:w="6360" w:type="dxa"/>
            <w:vAlign w:val="bottom"/>
          </w:tcPr>
          <w:p>
            <w:pPr>
              <w:spacing w:after="0"/>
              <w:rPr>
                <w:sz w:val="20"/>
                <w:szCs w:val="20"/>
                <w:color w:val="auto"/>
              </w:rPr>
            </w:pPr>
            <w:r>
              <w:rPr>
                <w:rFonts w:ascii="Arial" w:cs="Arial" w:eastAsia="Arial" w:hAnsi="Arial"/>
                <w:sz w:val="18"/>
                <w:szCs w:val="18"/>
                <w:color w:val="auto"/>
              </w:rPr>
              <w:t>Total direct costs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(202)</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Indirect costs:</w:t>
            </w:r>
          </w:p>
        </w:tc>
        <w:tc>
          <w:tcPr>
            <w:tcW w:w="7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Personnel-related expenses, including stock-based compensation</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9,657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6,571</w:t>
            </w:r>
          </w:p>
        </w:tc>
        <w:tc>
          <w:tcPr>
            <w:tcW w:w="114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3,086</w:t>
            </w: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47</w:t>
            </w:r>
          </w:p>
        </w:tc>
      </w:tr>
      <w:tr>
        <w:trPr>
          <w:trHeight w:val="203"/>
        </w:trPr>
        <w:tc>
          <w:tcPr>
            <w:tcW w:w="6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Facility and equipment related expenses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2,426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2,250</w:t>
            </w:r>
          </w:p>
        </w:tc>
        <w:tc>
          <w:tcPr>
            <w:tcW w:w="114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176</w:t>
            </w:r>
          </w:p>
        </w:tc>
        <w:tc>
          <w:tcPr>
            <w:tcW w:w="8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w:t>
            </w:r>
          </w:p>
        </w:tc>
      </w:tr>
      <w:tr>
        <w:trPr>
          <w:trHeight w:val="203"/>
        </w:trPr>
        <w:tc>
          <w:tcPr>
            <w:tcW w:w="6360" w:type="dxa"/>
            <w:vAlign w:val="bottom"/>
          </w:tcPr>
          <w:p>
            <w:pPr>
              <w:ind w:left="360"/>
              <w:spacing w:after="0" w:line="202" w:lineRule="exact"/>
              <w:rPr>
                <w:sz w:val="20"/>
                <w:szCs w:val="20"/>
                <w:color w:val="auto"/>
              </w:rPr>
            </w:pPr>
            <w:r>
              <w:rPr>
                <w:rFonts w:ascii="Arial" w:cs="Arial" w:eastAsia="Arial" w:hAnsi="Arial"/>
                <w:sz w:val="18"/>
                <w:szCs w:val="18"/>
                <w:color w:val="auto"/>
              </w:rPr>
              <w:t>Other unallocated research and development expenses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1,676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1,664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w:t>
            </w:r>
          </w:p>
        </w:tc>
      </w:tr>
      <w:tr>
        <w:trPr>
          <w:trHeight w:val="27"/>
        </w:trPr>
        <w:tc>
          <w:tcPr>
            <w:tcW w:w="6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research and development expenses</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24,577</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21,505</w:t>
            </w:r>
          </w:p>
        </w:tc>
        <w:tc>
          <w:tcPr>
            <w:tcW w:w="114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$ 3,180</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w:t>
            </w:r>
          </w:p>
        </w:tc>
      </w:tr>
      <w:tr>
        <w:trPr>
          <w:trHeight w:val="20"/>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0" w:firstLine="551"/>
        <w:spacing w:after="0" w:line="237" w:lineRule="auto"/>
        <w:rPr>
          <w:sz w:val="20"/>
          <w:szCs w:val="20"/>
          <w:color w:val="auto"/>
        </w:rPr>
      </w:pPr>
      <w:r>
        <w:rPr>
          <w:rFonts w:ascii="Arial" w:cs="Arial" w:eastAsia="Arial" w:hAnsi="Arial"/>
          <w:sz w:val="18"/>
          <w:szCs w:val="18"/>
          <w:color w:val="auto"/>
        </w:rPr>
        <w:t>Research and development expenses were $24.6 million and $21.5 million for the years ended December 31, 2020 and 2019, respectively. The increase of $3.2 million was due primarily to an increase in preclinical programs of $3.8 million as we began advancing certain pipeline programs, including SBT6290 and SBT8230, into preclinical development. The increase was also due to increases in personnel-related expenses of $3.1 million, and facility and equipment related expenses of $0.2 million. These increases were partially offset by a decrease of $4.0 million in research and manufacturing expenses related to the development of SBT6050 as the program completed manufacturing activities and initiated a Phase 1/1b clinical trial in the second half of 2020.</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General and administrative expenses were $8.3 million and $2.6 million for the years ended December 31, 2020 and 2019, respectively. The increase of $5.8 million was due primarily to an increase of $ 3.9 million in personnel-related expenses due to increased headcount in 2020, including new executives, as well as increases in salaries, bonuses, and stock-based compensation. To a lesser extent, the increase in general and administrative expenses was due to an increase in legal fees of $0.8 million, professional fees of $0.7 million, and $0.4 million in other various general and administrative expenses as we prepared to become a public company.</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 (Expense), Net</w:t>
      </w:r>
    </w:p>
    <w:p>
      <w:pPr>
        <w:spacing w:after="0" w:line="122"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Interest income (expense), net was ($ 29,000) and $0.1 million for the years ended December 31, 2020 and 2019, respectively. The change of $0.1 million was primarily due to a decrease in interest earned on our cash and cash equivalents due to changes in interest rates.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6" w:lineRule="exact"/>
        <w:rPr>
          <w:sz w:val="20"/>
          <w:szCs w:val="20"/>
          <w:color w:val="auto"/>
        </w:rPr>
      </w:pPr>
    </w:p>
    <w:p>
      <w:pPr>
        <w:jc w:val="both"/>
        <w:ind w:left="120" w:right="200" w:firstLine="551"/>
        <w:spacing w:after="0"/>
        <w:rPr>
          <w:sz w:val="20"/>
          <w:szCs w:val="20"/>
          <w:color w:val="auto"/>
        </w:rPr>
      </w:pPr>
      <w:r>
        <w:rPr>
          <w:rFonts w:ascii="Arial" w:cs="Arial" w:eastAsia="Arial" w:hAnsi="Arial"/>
          <w:sz w:val="18"/>
          <w:szCs w:val="18"/>
          <w:color w:val="auto"/>
        </w:rPr>
        <w:t>We have incurred net losses and negative cash flows from operations since our inception and anticipate we will continue to incur net losses for the foreseeable future. Since our inception, we have funded our operations almost exclusively with proceeds from the sale and issuance of shares of our redeemable convertible preferred stock and debt financings. We will need to raise substantial</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60"/>
        <w:spacing w:after="0"/>
        <w:rPr>
          <w:sz w:val="20"/>
          <w:szCs w:val="20"/>
          <w:color w:val="auto"/>
        </w:rPr>
      </w:pPr>
      <w:r>
        <w:rPr>
          <w:rFonts w:ascii="Arial" w:cs="Arial" w:eastAsia="Arial" w:hAnsi="Arial"/>
          <w:sz w:val="18"/>
          <w:szCs w:val="18"/>
          <w:color w:val="auto"/>
        </w:rPr>
        <w:t>additional capital in the future. In 2020, we raised net proceeds, after deducting underwriting discounts and commissions and offering costs, of $255.3 million from our initial public offering in December 2020 and net proceeds of $153.3 million from the sale of our redeemable convertible preferred stock in March, July, and September 2020.</w:t>
      </w:r>
    </w:p>
    <w:p>
      <w:pPr>
        <w:spacing w:after="0" w:line="203"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As of December 31, 2020, we had $386.6 million in cash and cash equivalents. The following table sets forth a summary of the net cash flow activity for the years ended December 31, 2020 and 2019:</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73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7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7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40" w:type="dxa"/>
            <w:vAlign w:val="bottom"/>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1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Operating activities</w:t>
            </w:r>
          </w:p>
        </w:tc>
        <w:tc>
          <w:tcPr>
            <w:tcW w:w="27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 (31,196)</w:t>
            </w:r>
          </w:p>
        </w:tc>
        <w:tc>
          <w:tcPr>
            <w:tcW w:w="10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$(18,898)</w:t>
            </w: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27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(917)</w:t>
            </w:r>
          </w:p>
        </w:tc>
        <w:tc>
          <w:tcPr>
            <w:tcW w:w="10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(96)</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Financing activities</w:t>
            </w:r>
          </w:p>
        </w:tc>
        <w:tc>
          <w:tcPr>
            <w:tcW w:w="174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408,506</w:t>
            </w:r>
          </w:p>
        </w:tc>
        <w:tc>
          <w:tcPr>
            <w:tcW w:w="10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8,610</w:t>
            </w:r>
          </w:p>
        </w:tc>
      </w:tr>
      <w:tr>
        <w:trPr>
          <w:trHeight w:val="27"/>
        </w:trPr>
        <w:tc>
          <w:tcPr>
            <w:tcW w:w="7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cash equivalents, and restricted cash</w:t>
            </w:r>
          </w:p>
        </w:tc>
        <w:tc>
          <w:tcPr>
            <w:tcW w:w="27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376,393</w:t>
            </w:r>
          </w:p>
        </w:tc>
        <w:tc>
          <w:tcPr>
            <w:tcW w:w="10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(10,384)</w:t>
            </w:r>
          </w:p>
        </w:tc>
      </w:tr>
      <w:tr>
        <w:trPr>
          <w:trHeight w:val="20"/>
        </w:trPr>
        <w:tc>
          <w:tcPr>
            <w:tcW w:w="7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22" w:lineRule="exact"/>
        <w:rPr>
          <w:sz w:val="20"/>
          <w:szCs w:val="20"/>
          <w:color w:val="auto"/>
        </w:rPr>
      </w:pPr>
    </w:p>
    <w:p>
      <w:pPr>
        <w:jc w:val="both"/>
        <w:ind w:left="120" w:right="60" w:firstLine="551"/>
        <w:spacing w:after="0" w:line="234" w:lineRule="auto"/>
        <w:rPr>
          <w:sz w:val="20"/>
          <w:szCs w:val="20"/>
          <w:color w:val="auto"/>
        </w:rPr>
      </w:pPr>
      <w:r>
        <w:rPr>
          <w:rFonts w:ascii="Arial" w:cs="Arial" w:eastAsia="Arial" w:hAnsi="Arial"/>
          <w:sz w:val="18"/>
          <w:szCs w:val="18"/>
          <w:color w:val="auto"/>
        </w:rPr>
        <w:t>During the year ended December 31, 2020, net cash used in operating activities was $31.2 million. This consisted primarily of a net loss of $32.9 million and an increase in our operating assets and liabilities of $2.6 million, partially offset by non-cash charges of</w:t>
      </w:r>
    </w:p>
    <w:p>
      <w:pPr>
        <w:spacing w:after="0" w:line="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$4.4 million. The non-cash charges primarily consisted of stock-based compensation expense of $2.6 million, non-cash lease expense of $1.1 million, and depreciation expense of $0.6 million. The increase in our operating assets and liabilities was primarily due to an increase in prepaid expenses and other assets of $3.5 million and a decrease in our lease liability of $0.9 million, partially offset by an increase in accounts payable and accrued expenses of $1.8 million after adjusting for non-cash items. The increase in prepaid expenses and other assets was primarily due to the purchase of $2.6 million in prepaid insurance.</w:t>
      </w:r>
    </w:p>
    <w:p>
      <w:pPr>
        <w:spacing w:after="0" w:line="202" w:lineRule="exact"/>
        <w:rPr>
          <w:sz w:val="20"/>
          <w:szCs w:val="20"/>
          <w:color w:val="auto"/>
        </w:rPr>
      </w:pPr>
    </w:p>
    <w:p>
      <w:pPr>
        <w:ind w:left="120" w:right="60" w:firstLine="551"/>
        <w:spacing w:after="0" w:line="234" w:lineRule="auto"/>
        <w:rPr>
          <w:sz w:val="20"/>
          <w:szCs w:val="20"/>
          <w:color w:val="auto"/>
        </w:rPr>
      </w:pPr>
      <w:r>
        <w:rPr>
          <w:rFonts w:ascii="Arial" w:cs="Arial" w:eastAsia="Arial" w:hAnsi="Arial"/>
          <w:sz w:val="18"/>
          <w:szCs w:val="18"/>
          <w:color w:val="auto"/>
        </w:rPr>
        <w:t>During the year ended December 31, 2019, net cash used in operating activities was $18.9 million. This consisted primarily of a net loss of $24.0 million, partially offset by a decrease in our operating assets and liabilities of $3.3 million and non-cash charges of</w:t>
      </w:r>
    </w:p>
    <w:p>
      <w:pPr>
        <w:spacing w:after="0" w:line="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$1.8 million. The non-cash charges primarily consisted of non-cash lease expense of $1.0 million, depreciation expense of $ 0.5 million, stock-based compensation expense of $0.2 million, and amortization of debt issuance costs of $0.1 million. The decrease in our operating assets and liabilities was primarily due to an increase in accounts payable and accrued expenses of $4.0 million and a decrease in prepaid expenses and other assets of $0.1 million, partially offset by a decrease in our lease liability of $0.8 million.</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22"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During the year ended December 31, 2020, cash used in investing activities was $0.9 million due to purchases of property and equipment.</w:t>
      </w:r>
    </w:p>
    <w:p>
      <w:pPr>
        <w:spacing w:after="0" w:line="197"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During the year ended December 31, 2019, cash used in investing activities was $0.1 million due to purchases of property and equipment.</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During the year ended December 31, 2020, cash provided by financing activities was $408.5 million. This consisted primarily of net proceeds received from the issuance of our common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stock in connection with our initial public offering of $255.7 million, net proceeds received from the issuance of shares of our redeemable convertible preferred stock of $153.4 million, and proceeds from the exercise of common stock options of $0.2 million, which were partially offset by principal payments on term loan payable of $0.7 million.</w:t>
      </w:r>
    </w:p>
    <w:p>
      <w:pPr>
        <w:spacing w:after="0" w:line="203" w:lineRule="exact"/>
        <w:rPr>
          <w:sz w:val="20"/>
          <w:szCs w:val="20"/>
          <w:color w:val="auto"/>
        </w:rPr>
      </w:pPr>
    </w:p>
    <w:p>
      <w:pPr>
        <w:jc w:val="both"/>
        <w:ind w:left="120" w:right="260" w:firstLine="551"/>
        <w:spacing w:after="0"/>
        <w:rPr>
          <w:sz w:val="20"/>
          <w:szCs w:val="20"/>
          <w:color w:val="auto"/>
        </w:rPr>
      </w:pPr>
      <w:r>
        <w:rPr>
          <w:rFonts w:ascii="Arial" w:cs="Arial" w:eastAsia="Arial" w:hAnsi="Arial"/>
          <w:sz w:val="18"/>
          <w:szCs w:val="18"/>
          <w:color w:val="auto"/>
        </w:rPr>
        <w:t>During the year ended December 31, 2019, cash provided by financing activities was $8.6 million. This consisted primarily of net proceeds received from the issuance of our convertible notes of $10.0 million, which was partially offset by principal payments on term loan payable of $1.4 million.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believe that our cash and cash equivalents of $386.6 million at December 31, 2020 will be sufficient to fund our operating expenses and capital expenditure requirements through at least the next 24 months.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880" w:right="380" w:hanging="224"/>
        <w:spacing w:after="0" w:line="24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initiation, trial design, progress, timing, costs and results of drug the discovery, preclinical studies and clinical trials of our product candidates, and in particular the clinical trials for SBT6050;</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length of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outcome, timing and costs of seeking FDA, EMA and any other regulatory approvals;</w:t>
      </w:r>
    </w:p>
    <w:p>
      <w:pPr>
        <w:spacing w:after="0" w:line="117"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manufacturing our product candidates, in particular for clinical trials in preparation for marketing approval and in preparation for commercialization;</w:t>
      </w:r>
    </w:p>
    <w:p>
      <w:pPr>
        <w:spacing w:after="0" w:line="102"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any third-party products used in our combination clinical trials that are not covered by such third party or other sources;</w:t>
      </w:r>
    </w:p>
    <w:p>
      <w:pPr>
        <w:spacing w:after="0" w:line="102" w:lineRule="exact"/>
        <w:rPr>
          <w:rFonts w:ascii="Arial" w:cs="Arial" w:eastAsia="Arial" w:hAnsi="Arial"/>
          <w:sz w:val="18"/>
          <w:szCs w:val="18"/>
          <w:color w:val="auto"/>
        </w:rPr>
      </w:pPr>
    </w:p>
    <w:p>
      <w:pPr>
        <w:ind w:left="880" w:right="460" w:hanging="224"/>
        <w:spacing w:after="0" w:line="24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manufacturing and clinical activities increase;</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receipt of marketing approval and revenue received from any commercial sales of any of our product candidates, if approved;</w:t>
      </w:r>
    </w:p>
    <w:p>
      <w:pPr>
        <w:spacing w:after="0" w:line="128" w:lineRule="exact"/>
        <w:rPr>
          <w:rFonts w:ascii="Arial" w:cs="Arial" w:eastAsia="Arial" w:hAnsi="Arial"/>
          <w:sz w:val="17"/>
          <w:szCs w:val="17"/>
          <w:color w:val="auto"/>
        </w:rPr>
      </w:pPr>
    </w:p>
    <w:p>
      <w:pPr>
        <w:ind w:left="880" w:right="80" w:hanging="224"/>
        <w:spacing w:after="0" w:line="24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 of commercialization activities for any of our product candidates, if approved, including marketing, sales and distribution costs;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emergence of competing therapies and other adverse market developments;</w:t>
      </w:r>
    </w:p>
    <w:p>
      <w:pPr>
        <w:spacing w:after="0" w:line="117" w:lineRule="exact"/>
        <w:rPr>
          <w:rFonts w:ascii="Arial" w:cs="Arial" w:eastAsia="Arial" w:hAnsi="Arial"/>
          <w:sz w:val="18"/>
          <w:szCs w:val="18"/>
          <w:color w:val="auto"/>
        </w:rPr>
      </w:pPr>
    </w:p>
    <w:p>
      <w:pPr>
        <w:ind w:left="880" w:right="520" w:hanging="224"/>
        <w:spacing w:after="0" w:line="24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ability to establish and maintain strategic collaboration, licensing or other arrangements and the financial terms of such agreements;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we in-license or acquire other products and technologies;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and timing of any payments we may be required to make pursuant to our current or future license agreements;</w:t>
      </w:r>
    </w:p>
    <w:p>
      <w:pPr>
        <w:spacing w:after="0" w:line="117"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medical personnel;</w:t>
      </w:r>
    </w:p>
    <w:p>
      <w:pPr>
        <w:spacing w:after="0" w:line="117"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implementation of additional internal systems and infrastructure, including operational, financial and management information systems;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or costs associated with expanding our facilities or building out our laboratory space;</w:t>
      </w:r>
    </w:p>
    <w:p>
      <w:pPr>
        <w:spacing w:after="0" w:line="117"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effects of the recent disruptions to and volatility in the credit and financial markets in the United States and worldwide from the COVID-19 pandemic;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2"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18"/>
          <w:szCs w:val="18"/>
          <w:color w:val="auto"/>
        </w:rPr>
        <w:t>Until such time, if ever, as we can generate substantial product revenues to support our cost structure, we expect to finance our cash needs through public or private equity offerings, debt financings, or other capital sources which may include strategic collaborations, licensing arrangements or other arrangements with third parties.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strategic collaborations or other similar arrangements with third parties, we may have to relinquish valuable rights to our platform technology, future revenue streams, research programs or product candidates or may have to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Our ability to raise additional funds may be adversely impacted by potential worsening global economic conditions and disruptions to and volatility in the credit and financial markets in the United States and worldwide resulting from the ongoing COVID-19 pandemic or otherwise. Because of the numerous risks and uncertainties associated with product development, we cannot predict the timing or amount of increased expenses and cannot assure you that we will ever be profitable or generate positive cash flow from operating activities.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and commitments at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Payments Due by Period</w:t>
            </w: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Less than</w:t>
            </w:r>
          </w:p>
        </w:tc>
        <w:tc>
          <w:tcPr>
            <w:tcW w:w="840" w:type="dxa"/>
            <w:vAlign w:val="bottom"/>
            <w:gridSpan w:val="2"/>
          </w:tcPr>
          <w:p>
            <w:pPr>
              <w:jc w:val="center"/>
              <w:ind w:left="179"/>
              <w:spacing w:after="0" w:line="143" w:lineRule="exact"/>
              <w:rPr>
                <w:sz w:val="20"/>
                <w:szCs w:val="20"/>
                <w:color w:val="auto"/>
              </w:rPr>
            </w:pPr>
            <w:r>
              <w:rPr>
                <w:rFonts w:ascii="Arial" w:cs="Arial" w:eastAsia="Arial" w:hAnsi="Arial"/>
                <w:sz w:val="14"/>
                <w:szCs w:val="14"/>
                <w:b w:val="1"/>
                <w:bCs w:val="1"/>
                <w:color w:val="auto"/>
              </w:rPr>
              <w:t>1-3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37"/>
              <w:spacing w:after="0" w:line="143" w:lineRule="exact"/>
              <w:rPr>
                <w:sz w:val="20"/>
                <w:szCs w:val="20"/>
                <w:color w:val="auto"/>
              </w:rPr>
            </w:pPr>
            <w:r>
              <w:rPr>
                <w:rFonts w:ascii="Arial" w:cs="Arial" w:eastAsia="Arial" w:hAnsi="Arial"/>
                <w:sz w:val="14"/>
                <w:szCs w:val="14"/>
                <w:b w:val="1"/>
                <w:bCs w:val="1"/>
                <w:color w:val="auto"/>
              </w:rPr>
              <w:t>3-5</w:t>
            </w:r>
          </w:p>
        </w:tc>
        <w:tc>
          <w:tcPr>
            <w:tcW w:w="360" w:type="dxa"/>
            <w:vAlign w:val="bottom"/>
          </w:tcPr>
          <w:p>
            <w:pPr>
              <w:spacing w:after="0"/>
              <w:rPr>
                <w:sz w:val="12"/>
                <w:szCs w:val="12"/>
                <w:color w:val="auto"/>
              </w:rPr>
            </w:pPr>
          </w:p>
        </w:tc>
        <w:tc>
          <w:tcPr>
            <w:tcW w:w="70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w w:val="98"/>
              </w:rPr>
              <w:t>More than</w:t>
            </w:r>
          </w:p>
        </w:tc>
        <w:tc>
          <w:tcPr>
            <w:tcW w:w="60" w:type="dxa"/>
            <w:vAlign w:val="bottom"/>
          </w:tcPr>
          <w:p>
            <w:pPr>
              <w:spacing w:after="0"/>
              <w:rPr>
                <w:sz w:val="12"/>
                <w:szCs w:val="12"/>
                <w:color w:val="auto"/>
              </w:rPr>
            </w:pPr>
          </w:p>
        </w:tc>
      </w:tr>
      <w:tr>
        <w:trPr>
          <w:trHeight w:val="175"/>
        </w:trPr>
        <w:tc>
          <w:tcPr>
            <w:tcW w:w="43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1 Year</w:t>
            </w:r>
          </w:p>
        </w:tc>
        <w:tc>
          <w:tcPr>
            <w:tcW w:w="26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5"/>
                <w:szCs w:val="15"/>
                <w:color w:val="auto"/>
              </w:rPr>
            </w:pPr>
          </w:p>
        </w:tc>
        <w:tc>
          <w:tcPr>
            <w:tcW w:w="520" w:type="dxa"/>
            <w:vAlign w:val="bottom"/>
          </w:tcPr>
          <w:p>
            <w:pPr>
              <w:jc w:val="center"/>
              <w:ind w:right="37"/>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5"/>
                <w:szCs w:val="15"/>
                <w:color w:val="auto"/>
              </w:rPr>
            </w:pP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5 Years</w:t>
            </w:r>
          </w:p>
        </w:tc>
      </w:tr>
      <w:tr>
        <w:trPr>
          <w:trHeight w:val="155"/>
        </w:trPr>
        <w:tc>
          <w:tcPr>
            <w:tcW w:w="43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29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$3,586</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1,132</w:t>
            </w:r>
          </w:p>
        </w:tc>
        <w:tc>
          <w:tcPr>
            <w:tcW w:w="1200" w:type="dxa"/>
            <w:vAlign w:val="bottom"/>
            <w:gridSpan w:val="3"/>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rPr>
              <w:t>$2,454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Term loan payable</w:t>
            </w:r>
            <w:r>
              <w:rPr>
                <w:rFonts w:ascii="Arial" w:cs="Arial" w:eastAsia="Arial" w:hAnsi="Arial"/>
                <w:sz w:val="15"/>
                <w:szCs w:val="15"/>
                <w:color w:val="auto"/>
              </w:rPr>
              <w:t>(1)(2)</w:t>
            </w:r>
          </w:p>
        </w:tc>
        <w:tc>
          <w:tcPr>
            <w:tcW w:w="200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848</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848</w:t>
            </w:r>
          </w:p>
        </w:tc>
        <w:tc>
          <w:tcPr>
            <w:tcW w:w="260" w:type="dxa"/>
            <w:vAlign w:val="bottom"/>
          </w:tcPr>
          <w:p>
            <w:pPr>
              <w:spacing w:after="0"/>
              <w:rPr>
                <w:sz w:val="17"/>
                <w:szCs w:val="17"/>
                <w:color w:val="auto"/>
              </w:rPr>
            </w:pPr>
          </w:p>
        </w:tc>
        <w:tc>
          <w:tcPr>
            <w:tcW w:w="9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2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9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4,434</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1,980</w:t>
            </w:r>
          </w:p>
        </w:tc>
        <w:tc>
          <w:tcPr>
            <w:tcW w:w="1200" w:type="dxa"/>
            <w:vAlign w:val="bottom"/>
            <w:gridSpan w:val="3"/>
            <w:shd w:val="clear" w:color="auto" w:fill="CCEEFF"/>
          </w:tcPr>
          <w:p>
            <w:pPr>
              <w:jc w:val="center"/>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r>
      <w:tr>
        <w:trPr>
          <w:trHeight w:val="20"/>
        </w:trPr>
        <w:tc>
          <w:tcPr>
            <w:tcW w:w="4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660" w:right="520" w:hanging="544"/>
        <w:spacing w:after="0" w:line="234" w:lineRule="auto"/>
        <w:tabs>
          <w:tab w:leader="none" w:pos="660" w:val="left"/>
        </w:tabs>
        <w:numPr>
          <w:ilvl w:val="0"/>
          <w:numId w:val="65"/>
        </w:numPr>
        <w:rPr>
          <w:rFonts w:ascii="Arial" w:cs="Arial" w:eastAsia="Arial" w:hAnsi="Arial"/>
          <w:sz w:val="15"/>
          <w:szCs w:val="15"/>
          <w:color w:val="auto"/>
        </w:rPr>
      </w:pPr>
      <w:r>
        <w:rPr>
          <w:rFonts w:ascii="Arial" w:cs="Arial" w:eastAsia="Arial" w:hAnsi="Arial"/>
          <w:sz w:val="18"/>
          <w:szCs w:val="18"/>
          <w:color w:val="auto"/>
        </w:rPr>
        <w:t>Refer to Notes 6 and 7 to our financial statements included in Part II, Item 8 of this Annual Report on Form 10-K for additional information.</w:t>
      </w:r>
    </w:p>
    <w:p>
      <w:pPr>
        <w:spacing w:after="0" w:line="1" w:lineRule="exact"/>
        <w:rPr>
          <w:rFonts w:ascii="Arial" w:cs="Arial" w:eastAsia="Arial" w:hAnsi="Arial"/>
          <w:sz w:val="15"/>
          <w:szCs w:val="15"/>
          <w:color w:val="auto"/>
        </w:rPr>
      </w:pPr>
    </w:p>
    <w:p>
      <w:pPr>
        <w:ind w:left="660" w:right="80" w:hanging="544"/>
        <w:spacing w:after="0" w:line="246" w:lineRule="auto"/>
        <w:tabs>
          <w:tab w:leader="none" w:pos="660" w:val="left"/>
        </w:tabs>
        <w:numPr>
          <w:ilvl w:val="0"/>
          <w:numId w:val="65"/>
        </w:numPr>
        <w:rPr>
          <w:rFonts w:ascii="Arial" w:cs="Arial" w:eastAsia="Arial" w:hAnsi="Arial"/>
          <w:sz w:val="15"/>
          <w:szCs w:val="15"/>
          <w:color w:val="auto"/>
        </w:rPr>
      </w:pPr>
      <w:r>
        <w:rPr>
          <w:rFonts w:ascii="Arial" w:cs="Arial" w:eastAsia="Arial" w:hAnsi="Arial"/>
          <w:sz w:val="18"/>
          <w:szCs w:val="18"/>
          <w:color w:val="auto"/>
        </w:rPr>
        <w:t>Payments due for the term loan include both principal and interest portions calculated using the interest rate at December 31, 2020 of 1.75%.</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Under our license agreements, we have payment obligations that are contingent upon future events such as our achievement of specified development, regulatory and commercial milestones and are required to make royalty payments in connection with the sales of products developed under those agreements. As of December 31, 2020 and 2019, we were unable to estimate the timing or likelihood of achieving the milestones or making future product sales and, therefore, any related payments are not included in the table above. For additional details regarding these agreements, see Part I, Item 1 of this Annual Report on Form 10-K under the section titled “License Agreement”.</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November 2016, we entered into a loan and security agreement with SVB that allowed borrowings up to $5.0 million in two tranches, the first that was immediately drawn and the second to be drawn before December 31, 2017 if certain financing milestones were met. We drew $3.5 million in the first tranche, and the second tranche expired undrawn. The outstanding principal amount of the term loan accrues interest at an annual rate of 1.75% per annum. At closing, we incurred de minimis debt issuance costs and owed a final payment fee of $0.3 million, both of which are amortized to interest expense over the remaining term of the debt under the effective interest method. The effective interest rate of our term loan is 5.14%. In April 2020, SVB amended our term loan to defer principal payments for six months and extend the maturity date to May 1, 2021, which we determined to be a debt modification.</w:t>
      </w:r>
    </w:p>
    <w:p>
      <w:pPr>
        <w:spacing w:after="0" w:line="20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In October 2019, we entered into a cell line license agreement with WuXi Biologics (Hong Kong) Limited (WuXi Bio), pursuant to which we received a non-exclusive, worldwide, sublicensable license under certain of WuXi Bio’s intellectual property rights, know-how and biological materials (the WuXi Bio Licensed Technology) to make, use, sell, offer for sale and import developed through the use of the WuXi Bio Licensed Technology (the WuXi Bio Licensed Product). In consideration for the license, we paid a license fee of $ 100,000 to WuXi Bio which was recorded in research and development expense in 2019. In 2020 we incurred an additional license fee of $50,000 to WuXi Bio which was recorded in research and development expense in 2020. Additionally, if we do not engage WuXi Bio to manufacture the WuXi Bio Licensed Products for our clinical and commercial supplies, we are required to make aggregate milestone payments of up to $10.8 million to WuXi Bio upon the achievement of certain sales milestones. To date, other than the license fee, no payments have been made under this agreement.</w:t>
      </w:r>
    </w:p>
    <w:p>
      <w:pPr>
        <w:spacing w:after="0" w:line="207" w:lineRule="exact"/>
        <w:rPr>
          <w:sz w:val="20"/>
          <w:szCs w:val="20"/>
          <w:color w:val="auto"/>
        </w:rPr>
      </w:pPr>
    </w:p>
    <w:p>
      <w:pPr>
        <w:jc w:val="both"/>
        <w:ind w:left="120" w:right="40" w:firstLine="551"/>
        <w:spacing w:after="0"/>
        <w:rPr>
          <w:sz w:val="20"/>
          <w:szCs w:val="20"/>
          <w:color w:val="auto"/>
        </w:rPr>
      </w:pPr>
      <w:r>
        <w:rPr>
          <w:rFonts w:ascii="Arial" w:cs="Arial" w:eastAsia="Arial" w:hAnsi="Arial"/>
          <w:sz w:val="18"/>
          <w:szCs w:val="18"/>
          <w:color w:val="auto"/>
        </w:rPr>
        <w:t>We enter into contracts in the normal course of business with clinical supply manufacturers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w:t>
      </w:r>
    </w:p>
    <w:p>
      <w:pPr>
        <w:ind w:left="120"/>
        <w:spacing w:after="0"/>
        <w:rPr>
          <w:sz w:val="20"/>
          <w:szCs w:val="20"/>
          <w:color w:val="auto"/>
        </w:rPr>
      </w:pPr>
      <w:r>
        <w:rPr>
          <w:rFonts w:ascii="Arial" w:cs="Arial" w:eastAsia="Arial" w:hAnsi="Arial"/>
          <w:sz w:val="18"/>
          <w:szCs w:val="18"/>
          <w:color w:val="auto"/>
        </w:rPr>
        <w:t>SEC.</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34"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(GAAP). The preparation of these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accrued expenses, stock-based compensation, and valuation allowances for deferred tax assets. We base our estimates on historical experience, known trends and events, and various other factors that are believed to be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color w:val="auto"/>
        </w:rPr>
        <w:t>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While our significant accounting policies are described in more detail in Note 2 to our audited financial statements appearing in Part II, Item 8 of this Annual Report on Form 10-K, we believe the following accounting policies and estimates to be most critical to the preparation of our financial statements.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All research and development costs are expensed in the period incurred. Advance payments, including nonrefundable amounts, for goods or services that will be used or rendered for future research and development activities are capitalized until such goods are delivered or the related services are performed, or such time when we do not expect the goods to be delivered or services to be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our inception.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We recognize stock-based compensation expense for stock options on a straight-line basis over the requisite service period and account for forfeitures as a reduction of stock-based compensation expense as they occur. Our stock-based compensation costs are based upon the grant date fair value of options estimated using the Black-Scholes option pricing model.</w:t>
      </w:r>
    </w:p>
    <w:p>
      <w:pPr>
        <w:spacing w:after="0" w:line="203"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84" w:lineRule="exact"/>
        <w:rPr>
          <w:sz w:val="20"/>
          <w:szCs w:val="20"/>
          <w:color w:val="auto"/>
        </w:rPr>
      </w:pPr>
    </w:p>
    <w:p>
      <w:pPr>
        <w:ind w:left="880" w:right="100" w:hanging="224"/>
        <w:spacing w:after="0" w:line="256" w:lineRule="auto"/>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 For all periods prior to our initial public offering, the fair value of the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underlying our share-based awards was estimated on each grant date by our board of directors. To determine the fair value of our common stock underlying option grants,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7"/>
          <w:szCs w:val="17"/>
          <w:i w:val="1"/>
          <w:iCs w:val="1"/>
          <w:color w:val="auto"/>
        </w:rPr>
        <w:t>Valuation of Privately-Held-Company Equity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Issued as Compensation </w:t>
      </w:r>
      <w:r>
        <w:rPr>
          <w:rFonts w:ascii="Arial" w:cs="Arial" w:eastAsia="Arial" w:hAnsi="Arial"/>
          <w:sz w:val="17"/>
          <w:szCs w:val="17"/>
          <w:color w:val="auto"/>
        </w:rPr>
        <w:t>(the Practice Aid). Following the closing of our initial public offering, the fair market value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is based on its closing price as reported on the primary stock exchange on which our common stock is traded.</w:t>
      </w:r>
    </w:p>
    <w:p>
      <w:pPr>
        <w:spacing w:after="0" w:line="79" w:lineRule="exact"/>
        <w:rPr>
          <w:rFonts w:ascii="Arial" w:cs="Arial" w:eastAsia="Arial" w:hAnsi="Arial"/>
          <w:sz w:val="17"/>
          <w:szCs w:val="17"/>
          <w:color w:val="auto"/>
        </w:rPr>
      </w:pPr>
    </w:p>
    <w:p>
      <w:pPr>
        <w:ind w:left="880" w:hanging="224"/>
        <w:spacing w:after="0" w:line="245"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options granted are expected to be outstanding.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stock options issued is determined using the simplified method (based on the mid-point between the vesting date and the end of the contractual term) as we have concluded that our stock option exercise history does not provide a reasonable basis upon which to estimate expected term.</w:t>
      </w:r>
    </w:p>
    <w:p>
      <w:pPr>
        <w:spacing w:after="0" w:line="86" w:lineRule="exact"/>
        <w:rPr>
          <w:rFonts w:ascii="Arial" w:cs="Arial" w:eastAsia="Arial" w:hAnsi="Arial"/>
          <w:sz w:val="18"/>
          <w:szCs w:val="18"/>
          <w:color w:val="auto"/>
        </w:rPr>
      </w:pPr>
    </w:p>
    <w:p>
      <w:pPr>
        <w:ind w:left="880" w:right="40" w:hanging="224"/>
        <w:spacing w:after="0" w:line="242"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Given our limited historical stock price volatility data, we derived the expected volatility from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volatilities over a period approximately equal to the expected term of comparable publicly traded companies within our peer group that were deemed to be representative of future stock price trends as we have limited trading history for our common stock. We will continue to apply this process until a sufficient amount of historical information regarding the volatility of our own stock price becomes available.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line="267"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zero-coupon issues in effect at the time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periods corresponding with the expected term of the options.</w:t>
      </w:r>
    </w:p>
    <w:p>
      <w:pPr>
        <w:spacing w:after="0" w:line="65" w:lineRule="exact"/>
        <w:rPr>
          <w:rFonts w:ascii="Arial" w:cs="Arial" w:eastAsia="Arial" w:hAnsi="Arial"/>
          <w:sz w:val="18"/>
          <w:szCs w:val="18"/>
          <w:color w:val="auto"/>
        </w:rPr>
      </w:pPr>
    </w:p>
    <w:p>
      <w:pPr>
        <w:ind w:left="880" w:right="60" w:hanging="224"/>
        <w:spacing w:after="0" w:line="267"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do not anticipate paying any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Therefore, we used an expected dividend yield of zero.</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205"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As of December 31, 2020, we had net operating loss carryforwards for income tax purposes of approximately $89.7 million. If not used, $18.2 million of this carryforward will begin to expire in 2036 and $ 71.5 million has no expiration. We also have research and development tax credits of approximately $1.5 million which will begin to expire in 2037 if left unused.</w:t>
      </w:r>
    </w:p>
    <w:p>
      <w:pPr>
        <w:spacing w:after="0" w:line="203"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Under Sections 382 and 383 of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205"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As of December 31, 2020, we did not have any liabilities for unrecognized income tax benefits associated with uncertain tax positions, including any interest and penalties.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See Note 2 to our audited financial statements appearing in Part II, Item 8 of this Annual Report on Form 10-K for additional information.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are an emerging growth company, as defined in the JOBS Act.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w:t>
      </w:r>
    </w:p>
    <w:p>
      <w:pPr>
        <w:spacing w:after="0" w:line="205"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Under the JOBS Act, emerging growth companies can delay adopting new or revised accounting standards issued subsequent to the enactment of the JOBS Act until such time as those standards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apply to private companies. We have elected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at least $1.07 billion in annual revenue; (ii) the last day of the fiscal year in which we are deemed to be a “large accelerated filer,” as defined in Rule 12b-2 under the Exchange Act; (iii) the date on which we have issued more than $1.0 billion in nonconvertible debt securities during the prior three-year period; and (iv) December 31, 2025.</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 to a “smaller reporting company” as defined under Item 10(f)(1) of Regulation S-K of the Securities Act.</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600" w:type="dxa"/>
            <w:vAlign w:val="bottom"/>
            <w:gridSpan w:val="5"/>
            <w:vMerge w:val="restart"/>
          </w:tcPr>
          <w:p>
            <w:pPr>
              <w:spacing w:after="0"/>
              <w:rPr>
                <w:rFonts w:ascii="Arial" w:cs="Arial" w:eastAsia="Arial" w:hAnsi="Arial"/>
                <w:sz w:val="18"/>
                <w:szCs w:val="18"/>
                <w:color w:val="0000EE"/>
                <w:w w:val="99"/>
              </w:rPr>
            </w:pPr>
            <w:hyperlink w:anchor="page145">
              <w:r>
                <w:rPr>
                  <w:rFonts w:ascii="Arial" w:cs="Arial" w:eastAsia="Arial" w:hAnsi="Arial"/>
                  <w:sz w:val="18"/>
                  <w:szCs w:val="18"/>
                  <w:color w:val="0000EE"/>
                  <w:w w:val="99"/>
                </w:rPr>
                <w:t>Report of Independent Registered Public Accounting Firm</w:t>
              </w:r>
            </w:hyperlink>
          </w:p>
        </w:tc>
        <w:tc>
          <w:tcPr>
            <w:tcW w:w="5960" w:type="dxa"/>
            <w:vAlign w:val="bottom"/>
            <w:gridSpan w:val="2"/>
            <w:vMerge w:val="restart"/>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600" w:type="dxa"/>
            <w:vAlign w:val="bottom"/>
            <w:tcBorders>
              <w:bottom w:val="single" w:sz="8" w:color="0000EE"/>
            </w:tcBorders>
            <w:gridSpan w:val="5"/>
            <w:vMerge w:val="continue"/>
          </w:tcPr>
          <w:p>
            <w:pPr>
              <w:spacing w:after="0"/>
              <w:rPr>
                <w:sz w:val="14"/>
                <w:szCs w:val="14"/>
                <w:color w:val="auto"/>
              </w:rPr>
            </w:pPr>
          </w:p>
        </w:tc>
        <w:tc>
          <w:tcPr>
            <w:tcW w:w="5960" w:type="dxa"/>
            <w:vAlign w:val="bottom"/>
            <w:gridSpan w:val="2"/>
            <w:vMerge w:val="continue"/>
          </w:tcPr>
          <w:p>
            <w:pPr>
              <w:spacing w:after="0"/>
              <w:rPr>
                <w:sz w:val="14"/>
                <w:szCs w:val="14"/>
                <w:color w:val="auto"/>
              </w:rPr>
            </w:pPr>
          </w:p>
        </w:tc>
        <w:tc>
          <w:tcPr>
            <w:tcW w:w="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146">
              <w:r>
                <w:rPr>
                  <w:rFonts w:ascii="Arial" w:cs="Arial" w:eastAsia="Arial" w:hAnsi="Arial"/>
                  <w:sz w:val="18"/>
                  <w:szCs w:val="18"/>
                  <w:color w:val="0000EE"/>
                  <w:w w:val="98"/>
                </w:rPr>
                <w:t>Balance Sheets</w:t>
              </w:r>
            </w:hyperlink>
          </w:p>
        </w:tc>
        <w:tc>
          <w:tcPr>
            <w:tcW w:w="9300" w:type="dxa"/>
            <w:vAlign w:val="bottom"/>
            <w:gridSpan w:val="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83"/>
        </w:trPr>
        <w:tc>
          <w:tcPr>
            <w:tcW w:w="10560" w:type="dxa"/>
            <w:vAlign w:val="bottom"/>
            <w:gridSpan w:val="7"/>
          </w:tcPr>
          <w:p>
            <w:pPr>
              <w:spacing w:after="0" w:line="182" w:lineRule="exact"/>
              <w:rPr>
                <w:rFonts w:ascii="Arial" w:cs="Arial" w:eastAsia="Arial" w:hAnsi="Arial"/>
                <w:sz w:val="18"/>
                <w:szCs w:val="18"/>
                <w:color w:val="0000EE"/>
              </w:rPr>
            </w:pPr>
            <w:hyperlink w:anchor="page147">
              <w:r>
                <w:rPr>
                  <w:rFonts w:ascii="Arial" w:cs="Arial" w:eastAsia="Arial" w:hAnsi="Arial"/>
                  <w:sz w:val="18"/>
                  <w:szCs w:val="18"/>
                  <w:color w:val="0000EE"/>
                </w:rPr>
                <w:t>Statements of Operations and Comprehensive Loss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148">
              <w:r>
                <w:rPr>
                  <w:rFonts w:ascii="Arial" w:cs="Arial" w:eastAsia="Arial" w:hAnsi="Arial"/>
                  <w:sz w:val="18"/>
                  <w:szCs w:val="18"/>
                  <w:color w:val="0000EE"/>
                  <w:w w:val="99"/>
                </w:rPr>
                <w:t>Statements of Redeemable Convertible Preferred Stock and Stockholders’ Equity (Deficit)</w:t>
              </w:r>
            </w:hyperlink>
          </w:p>
        </w:tc>
        <w:tc>
          <w:tcPr>
            <w:tcW w:w="342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83"/>
        </w:trPr>
        <w:tc>
          <w:tcPr>
            <w:tcW w:w="210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49">
              <w:r>
                <w:rPr>
                  <w:rFonts w:ascii="Arial" w:cs="Arial" w:eastAsia="Arial" w:hAnsi="Arial"/>
                  <w:sz w:val="18"/>
                  <w:szCs w:val="18"/>
                  <w:color w:val="0000EE"/>
                  <w:w w:val="98"/>
                </w:rPr>
                <w:t>Statements of Cash Flows</w:t>
              </w:r>
            </w:hyperlink>
          </w:p>
        </w:tc>
        <w:tc>
          <w:tcPr>
            <w:tcW w:w="8460" w:type="dxa"/>
            <w:vAlign w:val="bottom"/>
            <w:gridSpan w:val="5"/>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150">
              <w:r>
                <w:rPr>
                  <w:rFonts w:ascii="Arial" w:cs="Arial" w:eastAsia="Arial" w:hAnsi="Arial"/>
                  <w:sz w:val="18"/>
                  <w:szCs w:val="18"/>
                  <w:color w:val="0000EE"/>
                  <w:w w:val="99"/>
                </w:rPr>
                <w:t>Notes to Financial Statements</w:t>
              </w:r>
            </w:hyperlink>
          </w:p>
        </w:tc>
        <w:tc>
          <w:tcPr>
            <w:tcW w:w="8160" w:type="dxa"/>
            <w:vAlign w:val="bottom"/>
            <w:gridSpan w:val="4"/>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372"/>
        </w:trPr>
        <w:tc>
          <w:tcPr>
            <w:tcW w:w="7140" w:type="dxa"/>
            <w:vAlign w:val="bottom"/>
            <w:gridSpan w:val="6"/>
          </w:tcPr>
          <w:p>
            <w:pPr>
              <w:ind w:left="5360"/>
              <w:spacing w:after="0"/>
              <w:rPr>
                <w:sz w:val="20"/>
                <w:szCs w:val="20"/>
                <w:color w:val="auto"/>
              </w:rPr>
            </w:pPr>
            <w:r>
              <w:rPr>
                <w:rFonts w:ascii="Arial" w:cs="Arial" w:eastAsia="Arial" w:hAnsi="Arial"/>
                <w:sz w:val="18"/>
                <w:szCs w:val="18"/>
                <w:color w:val="auto"/>
              </w:rPr>
              <w:t>142</w:t>
            </w:r>
          </w:p>
        </w:tc>
        <w:tc>
          <w:tcPr>
            <w:tcW w:w="3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Silverback Therapeutics, Inc.</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audited the accompanying balance sheets of Silverback Therapeutics Inc. (the Company) as of December 31, 2020 and 2019, the related statements of operations, comprehensive loss, redeemable convertible preferred stock and stockholders’ equity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Seattle, Washington</w:t>
      </w:r>
    </w:p>
    <w:p>
      <w:pPr>
        <w:ind w:left="120"/>
        <w:spacing w:after="0"/>
        <w:rPr>
          <w:sz w:val="20"/>
          <w:szCs w:val="20"/>
          <w:color w:val="auto"/>
        </w:rPr>
      </w:pPr>
      <w:r>
        <w:rPr>
          <w:rFonts w:ascii="Arial" w:cs="Arial" w:eastAsia="Arial" w:hAnsi="Arial"/>
          <w:sz w:val="18"/>
          <w:szCs w:val="18"/>
          <w:color w:val="auto"/>
        </w:rPr>
        <w:t>March 29, 2021</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Silverback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jc w:val="center"/>
        <w:ind w:right="-99"/>
        <w:spacing w:after="0"/>
        <w:rPr>
          <w:sz w:val="20"/>
          <w:szCs w:val="20"/>
          <w:color w:val="auto"/>
        </w:rPr>
      </w:pPr>
      <w:r>
        <w:rPr>
          <w:rFonts w:ascii="Arial" w:cs="Arial" w:eastAsia="Arial" w:hAnsi="Arial"/>
          <w:sz w:val="18"/>
          <w:szCs w:val="18"/>
          <w:color w:val="auto"/>
        </w:rPr>
        <w:t>(in thousands, except share and par value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0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0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386,569</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09"/>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4,087</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390,656</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10,528</w:t>
            </w: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1,618</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9"/>
        </w:trPr>
        <w:tc>
          <w:tcPr>
            <w:tcW w:w="9020" w:type="dxa"/>
            <w:vAlign w:val="bottom"/>
          </w:tcPr>
          <w:p>
            <w:pPr>
              <w:spacing w:after="0" w:line="202" w:lineRule="exact"/>
              <w:rPr>
                <w:sz w:val="20"/>
                <w:szCs w:val="20"/>
                <w:color w:val="auto"/>
              </w:rPr>
            </w:pPr>
            <w:r>
              <w:rPr>
                <w:rFonts w:ascii="Arial" w:cs="Arial" w:eastAsia="Arial" w:hAnsi="Arial"/>
                <w:sz w:val="18"/>
                <w:szCs w:val="18"/>
                <w:color w:val="auto"/>
              </w:rPr>
              <w:t>Right-of-use asset</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2,180</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394,804</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15,647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2,583</w:t>
            </w:r>
          </w:p>
        </w:tc>
        <w:tc>
          <w:tcPr>
            <w:tcW w:w="3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5,278</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Term loan payable, net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844</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Convertible notes, net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09"/>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Current portion of lease liability</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896</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9,601</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17,926</w:t>
            </w:r>
          </w:p>
        </w:tc>
        <w:tc>
          <w:tcPr>
            <w:tcW w:w="0" w:type="dxa"/>
            <w:vAlign w:val="bottom"/>
          </w:tcPr>
          <w:p>
            <w:pPr>
              <w:spacing w:after="0"/>
              <w:rPr>
                <w:sz w:val="1"/>
                <w:szCs w:val="1"/>
                <w:color w:val="auto"/>
              </w:rPr>
            </w:pPr>
          </w:p>
        </w:tc>
      </w:tr>
      <w:tr>
        <w:trPr>
          <w:trHeight w:val="210"/>
        </w:trPr>
        <w:tc>
          <w:tcPr>
            <w:tcW w:w="9020" w:type="dxa"/>
            <w:vAlign w:val="bottom"/>
          </w:tcPr>
          <w:p>
            <w:pPr>
              <w:spacing w:after="0" w:line="202" w:lineRule="exact"/>
              <w:rPr>
                <w:sz w:val="20"/>
                <w:szCs w:val="20"/>
                <w:color w:val="auto"/>
              </w:rPr>
            </w:pPr>
            <w:r>
              <w:rPr>
                <w:rFonts w:ascii="Arial" w:cs="Arial" w:eastAsia="Arial" w:hAnsi="Arial"/>
                <w:sz w:val="18"/>
                <w:szCs w:val="18"/>
                <w:color w:val="auto"/>
              </w:rPr>
              <w:t>Lease liability, net of current portion</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2,326</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11,927</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21,250</w:t>
            </w:r>
          </w:p>
        </w:tc>
        <w:tc>
          <w:tcPr>
            <w:tcW w:w="0" w:type="dxa"/>
            <w:vAlign w:val="bottom"/>
          </w:tcPr>
          <w:p>
            <w:pPr>
              <w:spacing w:after="0"/>
              <w:rPr>
                <w:sz w:val="1"/>
                <w:szCs w:val="1"/>
                <w:color w:val="auto"/>
              </w:rPr>
            </w:pP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Redeemable convertible preferred stock, $0.0001 par value per share; no shares and 17,142,854 shares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no shares and 15,714,283 shares issued and outstanding with aggregate liquidation preference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of $0 and $ 55,000 at December 31, 2020 and 2019, respectively</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53,174</w:t>
            </w: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$0.0001 par value per share; 10,000,000 and no shares authorized at December 31,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2020 and 2019, respectively; no shares issued and outstanding at December 31, 2020 and 2019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02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$0.0001 par value per share; 200,000,000 and 23,500,000 shares authorized, 34,801,537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540"/>
              <w:spacing w:after="0" w:line="202" w:lineRule="exact"/>
              <w:rPr>
                <w:sz w:val="20"/>
                <w:szCs w:val="20"/>
                <w:color w:val="auto"/>
              </w:rPr>
            </w:pPr>
            <w:r>
              <w:rPr>
                <w:rFonts w:ascii="Arial" w:cs="Arial" w:eastAsia="Arial" w:hAnsi="Arial"/>
                <w:sz w:val="18"/>
                <w:szCs w:val="18"/>
                <w:color w:val="auto"/>
              </w:rPr>
              <w:t>and 670,477 shares issued, and 34,701,274 and 664,431 shares outstanding at December 31, 2020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540"/>
              <w:spacing w:after="0" w:line="203" w:lineRule="exact"/>
              <w:rPr>
                <w:sz w:val="20"/>
                <w:szCs w:val="20"/>
                <w:color w:val="auto"/>
              </w:rPr>
            </w:pPr>
            <w:r>
              <w:rPr>
                <w:rFonts w:ascii="Arial" w:cs="Arial" w:eastAsia="Arial" w:hAnsi="Arial"/>
                <w:sz w:val="18"/>
                <w:szCs w:val="18"/>
                <w:color w:val="auto"/>
              </w:rPr>
              <w:t>and 2019, respectively</w:t>
            </w:r>
          </w:p>
        </w:tc>
        <w:tc>
          <w:tcPr>
            <w:tcW w:w="1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479,608</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(96,734)</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(63,787)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382,877</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(58,777)</w:t>
            </w:r>
          </w:p>
        </w:tc>
        <w:tc>
          <w:tcPr>
            <w:tcW w:w="0" w:type="dxa"/>
            <w:vAlign w:val="bottom"/>
          </w:tcPr>
          <w:p>
            <w:pPr>
              <w:spacing w:after="0"/>
              <w:rPr>
                <w:sz w:val="1"/>
                <w:szCs w:val="1"/>
                <w:color w:val="auto"/>
              </w:rPr>
            </w:pP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394,804</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Silverback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 and Comprehensive Loss</w:t>
      </w: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8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84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83"/>
        </w:trPr>
        <w:tc>
          <w:tcPr>
            <w:tcW w:w="8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24,577</w:t>
            </w: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21,505</w:t>
            </w: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8,341</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2,562</w:t>
            </w:r>
          </w:p>
        </w:tc>
        <w:tc>
          <w:tcPr>
            <w:tcW w:w="120" w:type="dxa"/>
            <w:vAlign w:val="bottom"/>
            <w:shd w:val="clear" w:color="auto" w:fill="CCEEFF"/>
          </w:tcPr>
          <w:p>
            <w:pPr>
              <w:spacing w:after="0"/>
              <w:rPr>
                <w:sz w:val="17"/>
                <w:szCs w:val="17"/>
                <w:color w:val="auto"/>
              </w:rPr>
            </w:pPr>
          </w:p>
        </w:tc>
      </w:tr>
      <w:tr>
        <w:trPr>
          <w:trHeight w:val="217"/>
        </w:trPr>
        <w:tc>
          <w:tcPr>
            <w:tcW w:w="84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24,067</w:t>
            </w:r>
          </w:p>
        </w:tc>
        <w:tc>
          <w:tcPr>
            <w:tcW w:w="120" w:type="dxa"/>
            <w:vAlign w:val="bottom"/>
          </w:tcPr>
          <w:p>
            <w:pPr>
              <w:spacing w:after="0"/>
              <w:rPr>
                <w:sz w:val="18"/>
                <w:szCs w:val="18"/>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(32,918)</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(24,067)</w:t>
            </w:r>
          </w:p>
        </w:tc>
      </w:tr>
      <w:tr>
        <w:trPr>
          <w:trHeight w:val="203"/>
        </w:trPr>
        <w:tc>
          <w:tcPr>
            <w:tcW w:w="8420" w:type="dxa"/>
            <w:vAlign w:val="bottom"/>
          </w:tcPr>
          <w:p>
            <w:pPr>
              <w:spacing w:after="0" w:line="202" w:lineRule="exact"/>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(29)</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(32,947)</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(23,967)</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420" w:type="dxa"/>
            <w:vAlign w:val="bottom"/>
          </w:tcPr>
          <w:p>
            <w:pPr>
              <w:spacing w:after="0" w:line="196" w:lineRule="exact"/>
              <w:rPr>
                <w:sz w:val="20"/>
                <w:szCs w:val="20"/>
                <w:color w:val="auto"/>
              </w:rPr>
            </w:pPr>
            <w:r>
              <w:rPr>
                <w:rFonts w:ascii="Arial" w:cs="Arial" w:eastAsia="Arial" w:hAnsi="Arial"/>
                <w:sz w:val="18"/>
                <w:szCs w:val="18"/>
                <w:color w:val="auto"/>
              </w:rPr>
              <w:t>Net loss per share applicable to common stockholders, basic and diluted</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(11.33)</w:t>
            </w: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(36.27)</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stockholders, basic and diluted</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w w:val="99"/>
              </w:rPr>
              <w:t>2,907,542</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660,893</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Silverback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Redeemable Convertible Preferred Stock and Stockholders’ Equity (Deficit)</w:t>
      </w:r>
    </w:p>
    <w:p>
      <w:pPr>
        <w:jc w:val="center"/>
        <w:ind w:right="-99"/>
        <w:spacing w:after="0"/>
        <w:rPr>
          <w:sz w:val="20"/>
          <w:szCs w:val="20"/>
          <w:color w:val="auto"/>
        </w:rPr>
      </w:pPr>
      <w:r>
        <w:rPr>
          <w:rFonts w:ascii="Arial" w:cs="Arial" w:eastAsia="Arial" w:hAnsi="Arial"/>
          <w:sz w:val="18"/>
          <w:szCs w:val="18"/>
          <w:color w:val="auto"/>
        </w:rPr>
        <w:t>(in thousands, except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060" w:type="dxa"/>
            <w:vAlign w:val="bottom"/>
            <w:tcBorders>
              <w:right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Redeemable Convertible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2060" w:type="dxa"/>
            <w:vAlign w:val="bottom"/>
            <w:tcBorders>
              <w:right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Preferred Stock</w:t>
            </w:r>
          </w:p>
        </w:tc>
        <w:tc>
          <w:tcPr>
            <w:tcW w:w="2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96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CCEEFF"/>
              <w:right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Equity (Deficit)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as of December 31, 2018</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15,714,283</w:t>
            </w:r>
          </w:p>
        </w:tc>
        <w:tc>
          <w:tcPr>
            <w:tcW w:w="1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300"/>
              <w:spacing w:after="0" w:line="155" w:lineRule="exact"/>
              <w:rPr>
                <w:sz w:val="20"/>
                <w:szCs w:val="20"/>
                <w:color w:val="auto"/>
              </w:rPr>
            </w:pPr>
            <w:r>
              <w:rPr>
                <w:rFonts w:ascii="Arial" w:cs="Arial" w:eastAsia="Arial" w:hAnsi="Arial"/>
                <w:sz w:val="14"/>
                <w:szCs w:val="14"/>
                <w:color w:val="auto"/>
              </w:rPr>
              <w:t>53,174</w:t>
            </w:r>
          </w:p>
        </w:tc>
        <w:tc>
          <w:tcPr>
            <w:tcW w:w="2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656,820</w:t>
            </w:r>
          </w:p>
        </w:tc>
        <w:tc>
          <w:tcPr>
            <w:tcW w:w="460" w:type="dxa"/>
            <w:vAlign w:val="bottom"/>
            <w:gridSpan w:val="2"/>
            <w:shd w:val="clear" w:color="auto" w:fill="CCEEFF"/>
          </w:tcPr>
          <w:p>
            <w:pPr>
              <w:ind w:left="80"/>
              <w:spacing w:after="0" w:line="155"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8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4,843</w:t>
            </w:r>
          </w:p>
        </w:tc>
        <w:tc>
          <w:tcPr>
            <w:tcW w:w="220" w:type="dxa"/>
            <w:vAlign w:val="bottom"/>
            <w:gridSpan w:val="2"/>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(39,820)</w:t>
            </w:r>
          </w:p>
        </w:tc>
        <w:tc>
          <w:tcPr>
            <w:tcW w:w="280" w:type="dxa"/>
            <w:vAlign w:val="bottom"/>
            <w:gridSpan w:val="2"/>
            <w:shd w:val="clear" w:color="auto" w:fill="CCEEFF"/>
          </w:tcPr>
          <w:p>
            <w:pPr>
              <w:ind w:left="8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(34,977)</w:t>
            </w:r>
          </w:p>
        </w:tc>
        <w:tc>
          <w:tcPr>
            <w:tcW w:w="0" w:type="dxa"/>
            <w:vAlign w:val="bottom"/>
          </w:tcPr>
          <w:p>
            <w:pPr>
              <w:spacing w:after="0"/>
              <w:rPr>
                <w:sz w:val="1"/>
                <w:szCs w:val="1"/>
                <w:color w:val="auto"/>
              </w:rPr>
            </w:pPr>
          </w:p>
        </w:tc>
      </w:tr>
      <w:tr>
        <w:trPr>
          <w:trHeight w:val="167"/>
        </w:trPr>
        <w:tc>
          <w:tcPr>
            <w:tcW w:w="3960" w:type="dxa"/>
            <w:vAlign w:val="bottom"/>
          </w:tcPr>
          <w:p>
            <w:pPr>
              <w:ind w:left="140"/>
              <w:spacing w:after="0"/>
              <w:rPr>
                <w:sz w:val="20"/>
                <w:szCs w:val="20"/>
                <w:color w:val="auto"/>
              </w:rPr>
            </w:pPr>
            <w:r>
              <w:rPr>
                <w:rFonts w:ascii="Arial" w:cs="Arial" w:eastAsia="Arial" w:hAnsi="Arial"/>
                <w:sz w:val="14"/>
                <w:szCs w:val="14"/>
                <w:color w:val="auto"/>
              </w:rPr>
              <w:t>Exercise of common stock options and vesting of early</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60" w:type="dxa"/>
            <w:vAlign w:val="bottom"/>
          </w:tcPr>
          <w:p>
            <w:pPr>
              <w:ind w:left="280"/>
              <w:spacing w:after="0" w:line="157" w:lineRule="exact"/>
              <w:rPr>
                <w:sz w:val="20"/>
                <w:szCs w:val="20"/>
                <w:color w:val="auto"/>
              </w:rPr>
            </w:pPr>
            <w:r>
              <w:rPr>
                <w:rFonts w:ascii="Arial" w:cs="Arial" w:eastAsia="Arial" w:hAnsi="Arial"/>
                <w:sz w:val="14"/>
                <w:szCs w:val="14"/>
                <w:color w:val="auto"/>
              </w:rPr>
              <w:t>exercised common stock options</w:t>
            </w: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7,611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3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62"/>
        </w:trPr>
        <w:tc>
          <w:tcPr>
            <w:tcW w:w="3960" w:type="dxa"/>
            <w:vAlign w:val="bottom"/>
          </w:tcPr>
          <w:p>
            <w:pPr>
              <w:ind w:left="140"/>
              <w:spacing w:after="0"/>
              <w:rPr>
                <w:sz w:val="20"/>
                <w:szCs w:val="20"/>
                <w:color w:val="auto"/>
              </w:rPr>
            </w:pPr>
            <w:r>
              <w:rPr>
                <w:rFonts w:ascii="Arial" w:cs="Arial" w:eastAsia="Arial" w:hAnsi="Arial"/>
                <w:sz w:val="14"/>
                <w:szCs w:val="14"/>
                <w:color w:val="auto"/>
              </w:rPr>
              <w:t>Net loss and comprehensive loss</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(23,967)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(23,967)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15,714,283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53,174</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664,431</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5,010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(63,787)</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(58,777)</w:t>
            </w:r>
          </w:p>
        </w:tc>
        <w:tc>
          <w:tcPr>
            <w:tcW w:w="0" w:type="dxa"/>
            <w:vAlign w:val="bottom"/>
          </w:tcPr>
          <w:p>
            <w:pPr>
              <w:spacing w:after="0"/>
              <w:rPr>
                <w:sz w:val="1"/>
                <w:szCs w:val="1"/>
                <w:color w:val="auto"/>
              </w:rPr>
            </w:pPr>
          </w:p>
        </w:tc>
      </w:tr>
      <w:tr>
        <w:trPr>
          <w:trHeight w:val="174"/>
        </w:trPr>
        <w:tc>
          <w:tcPr>
            <w:tcW w:w="3960" w:type="dxa"/>
            <w:vAlign w:val="bottom"/>
          </w:tcPr>
          <w:p>
            <w:pPr>
              <w:ind w:left="140"/>
              <w:spacing w:after="0"/>
              <w:rPr>
                <w:sz w:val="20"/>
                <w:szCs w:val="20"/>
                <w:color w:val="auto"/>
              </w:rPr>
            </w:pPr>
            <w:r>
              <w:rPr>
                <w:rFonts w:ascii="Arial" w:cs="Arial" w:eastAsia="Arial" w:hAnsi="Arial"/>
                <w:sz w:val="14"/>
                <w:szCs w:val="14"/>
                <w:color w:val="auto"/>
              </w:rPr>
              <w:t>Issuance of Series B redeemable convertible preferred</w:t>
            </w: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60" w:type="dxa"/>
            <w:vAlign w:val="bottom"/>
          </w:tcPr>
          <w:p>
            <w:pPr>
              <w:ind w:left="280"/>
              <w:spacing w:after="0" w:line="157" w:lineRule="exact"/>
              <w:rPr>
                <w:sz w:val="20"/>
                <w:szCs w:val="20"/>
                <w:color w:val="auto"/>
              </w:rPr>
            </w:pPr>
            <w:r>
              <w:rPr>
                <w:rFonts w:ascii="Arial" w:cs="Arial" w:eastAsia="Arial" w:hAnsi="Arial"/>
                <w:sz w:val="14"/>
                <w:szCs w:val="14"/>
                <w:color w:val="auto"/>
              </w:rPr>
              <w:t>stock for cash, net of $76 in issuance costs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31,760,528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300"/>
              <w:spacing w:after="0" w:line="157" w:lineRule="exact"/>
              <w:rPr>
                <w:sz w:val="20"/>
                <w:szCs w:val="20"/>
                <w:color w:val="auto"/>
              </w:rPr>
            </w:pPr>
            <w:r>
              <w:rPr>
                <w:rFonts w:ascii="Arial" w:cs="Arial" w:eastAsia="Arial" w:hAnsi="Arial"/>
                <w:sz w:val="14"/>
                <w:szCs w:val="14"/>
                <w:color w:val="auto"/>
              </w:rPr>
              <w:t>68,401</w:t>
            </w:r>
          </w:p>
        </w:tc>
        <w:tc>
          <w:tcPr>
            <w:tcW w:w="280" w:type="dxa"/>
            <w:vAlign w:val="bottom"/>
          </w:tcPr>
          <w:p>
            <w:pPr>
              <w:spacing w:after="0"/>
              <w:rPr>
                <w:sz w:val="13"/>
                <w:szCs w:val="13"/>
                <w:color w:val="auto"/>
              </w:rPr>
            </w:pPr>
          </w:p>
        </w:tc>
        <w:tc>
          <w:tcPr>
            <w:tcW w:w="8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Series B redeemable convertible preferred</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stock upon conversion of convertible notes</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4,673,388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10,095</w:t>
            </w:r>
          </w:p>
        </w:tc>
        <w:tc>
          <w:tcPr>
            <w:tcW w:w="2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960" w:type="dxa"/>
            <w:vAlign w:val="bottom"/>
          </w:tcPr>
          <w:p>
            <w:pPr>
              <w:ind w:left="140"/>
              <w:spacing w:after="0"/>
              <w:rPr>
                <w:sz w:val="20"/>
                <w:szCs w:val="20"/>
                <w:color w:val="auto"/>
              </w:rPr>
            </w:pPr>
            <w:r>
              <w:rPr>
                <w:rFonts w:ascii="Arial" w:cs="Arial" w:eastAsia="Arial" w:hAnsi="Arial"/>
                <w:sz w:val="14"/>
                <w:szCs w:val="14"/>
                <w:color w:val="auto"/>
              </w:rPr>
              <w:t>Issuance of Series C redeemable convertible preferred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60" w:type="dxa"/>
            <w:vAlign w:val="bottom"/>
          </w:tcPr>
          <w:p>
            <w:pPr>
              <w:ind w:left="280"/>
              <w:spacing w:after="0" w:line="157" w:lineRule="exact"/>
              <w:rPr>
                <w:sz w:val="20"/>
                <w:szCs w:val="20"/>
                <w:color w:val="auto"/>
              </w:rPr>
            </w:pPr>
            <w:r>
              <w:rPr>
                <w:rFonts w:ascii="Arial" w:cs="Arial" w:eastAsia="Arial" w:hAnsi="Arial"/>
                <w:sz w:val="14"/>
                <w:szCs w:val="14"/>
                <w:color w:val="auto"/>
              </w:rPr>
              <w:t>stock for cash, net of $53 in issuance costs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24,926,685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300"/>
              <w:spacing w:after="0" w:line="157" w:lineRule="exact"/>
              <w:rPr>
                <w:sz w:val="20"/>
                <w:szCs w:val="20"/>
                <w:color w:val="auto"/>
              </w:rPr>
            </w:pPr>
            <w:r>
              <w:rPr>
                <w:rFonts w:ascii="Arial" w:cs="Arial" w:eastAsia="Arial" w:hAnsi="Arial"/>
                <w:sz w:val="14"/>
                <w:szCs w:val="14"/>
                <w:color w:val="auto"/>
              </w:rPr>
              <w:t>84,897</w:t>
            </w:r>
          </w:p>
        </w:tc>
        <w:tc>
          <w:tcPr>
            <w:tcW w:w="280" w:type="dxa"/>
            <w:vAlign w:val="bottom"/>
          </w:tcPr>
          <w:p>
            <w:pPr>
              <w:spacing w:after="0"/>
              <w:rPr>
                <w:sz w:val="13"/>
                <w:szCs w:val="13"/>
                <w:color w:val="auto"/>
              </w:rPr>
            </w:pPr>
          </w:p>
        </w:tc>
        <w:tc>
          <w:tcPr>
            <w:tcW w:w="8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Redeemable convertible preferred stock converted into</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shares of common stock</w:t>
            </w:r>
          </w:p>
        </w:tc>
        <w:tc>
          <w:tcPr>
            <w:tcW w:w="9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(77,074,884)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(216,567)</w:t>
            </w:r>
          </w:p>
        </w:tc>
        <w:tc>
          <w:tcPr>
            <w:tcW w:w="2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20,758,098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216,565</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216,567</w:t>
            </w:r>
          </w:p>
        </w:tc>
        <w:tc>
          <w:tcPr>
            <w:tcW w:w="0" w:type="dxa"/>
            <w:vAlign w:val="bottom"/>
          </w:tcPr>
          <w:p>
            <w:pPr>
              <w:spacing w:after="0"/>
              <w:rPr>
                <w:sz w:val="1"/>
                <w:szCs w:val="1"/>
                <w:color w:val="auto"/>
              </w:rPr>
            </w:pPr>
          </w:p>
        </w:tc>
      </w:tr>
      <w:tr>
        <w:trPr>
          <w:trHeight w:val="167"/>
        </w:trPr>
        <w:tc>
          <w:tcPr>
            <w:tcW w:w="3960" w:type="dxa"/>
            <w:vAlign w:val="bottom"/>
          </w:tcPr>
          <w:p>
            <w:pPr>
              <w:ind w:left="140"/>
              <w:spacing w:after="0"/>
              <w:rPr>
                <w:sz w:val="20"/>
                <w:szCs w:val="20"/>
                <w:color w:val="auto"/>
              </w:rPr>
            </w:pPr>
            <w:r>
              <w:rPr>
                <w:rFonts w:ascii="Arial" w:cs="Arial" w:eastAsia="Arial" w:hAnsi="Arial"/>
                <w:sz w:val="14"/>
                <w:szCs w:val="14"/>
                <w:color w:val="auto"/>
              </w:rPr>
              <w:t>Initial public offering of common stock, net of $22,386 in</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60" w:type="dxa"/>
            <w:vAlign w:val="bottom"/>
          </w:tcPr>
          <w:p>
            <w:pPr>
              <w:ind w:left="280"/>
              <w:spacing w:after="0" w:line="157" w:lineRule="exact"/>
              <w:rPr>
                <w:sz w:val="20"/>
                <w:szCs w:val="20"/>
                <w:color w:val="auto"/>
              </w:rPr>
            </w:pPr>
            <w:r>
              <w:rPr>
                <w:rFonts w:ascii="Arial" w:cs="Arial" w:eastAsia="Arial" w:hAnsi="Arial"/>
                <w:sz w:val="14"/>
                <w:szCs w:val="14"/>
                <w:color w:val="auto"/>
              </w:rPr>
              <w:t>issuance costs</w:t>
            </w: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13,225,000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255,338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255,339</w:t>
            </w:r>
          </w:p>
        </w:tc>
        <w:tc>
          <w:tcPr>
            <w:tcW w:w="0" w:type="dxa"/>
            <w:vAlign w:val="bottom"/>
          </w:tcPr>
          <w:p>
            <w:pPr>
              <w:spacing w:after="0"/>
              <w:rPr>
                <w:sz w:val="1"/>
                <w:szCs w:val="1"/>
                <w:color w:val="auto"/>
              </w:rPr>
            </w:pPr>
          </w:p>
        </w:tc>
      </w:tr>
      <w:tr>
        <w:trPr>
          <w:trHeight w:val="167"/>
        </w:trPr>
        <w:tc>
          <w:tcPr>
            <w:tcW w:w="3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 of common stock options and warrants and</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6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vesting of early exercised common stock options</w:t>
            </w:r>
          </w:p>
        </w:tc>
        <w:tc>
          <w:tcPr>
            <w:tcW w:w="9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tcBorders>
              <w:right w:val="single" w:sz="8" w:color="auto"/>
            </w:tcBorders>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53,745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55</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39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2,640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2,640</w:t>
            </w:r>
          </w:p>
        </w:tc>
        <w:tc>
          <w:tcPr>
            <w:tcW w:w="0" w:type="dxa"/>
            <w:vAlign w:val="bottom"/>
          </w:tcPr>
          <w:p>
            <w:pPr>
              <w:spacing w:after="0"/>
              <w:rPr>
                <w:sz w:val="1"/>
                <w:szCs w:val="1"/>
                <w:color w:val="auto"/>
              </w:rPr>
            </w:pPr>
          </w:p>
        </w:tc>
      </w:tr>
      <w:tr>
        <w:trPr>
          <w:trHeight w:val="162"/>
        </w:trPr>
        <w:tc>
          <w:tcPr>
            <w:tcW w:w="3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and comprehensive loss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(32,947)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(32,947)</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2020</w:t>
            </w: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vMerge w:val="continue"/>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34,701,274</w:t>
            </w: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479,608</w:t>
            </w: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(96,734)</w:t>
            </w:r>
          </w:p>
        </w:tc>
        <w:tc>
          <w:tcPr>
            <w:tcW w:w="2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382,877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Silverback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jc w:val="center"/>
        <w:ind w:right="-99"/>
        <w:spacing w:after="0"/>
        <w:rPr>
          <w:sz w:val="20"/>
          <w:szCs w:val="20"/>
          <w:color w:val="auto"/>
        </w:rPr>
      </w:pPr>
      <w:r>
        <w:rPr>
          <w:rFonts w:ascii="Arial" w:cs="Arial" w:eastAsia="Arial" w:hAnsi="Arial"/>
          <w:sz w:val="18"/>
          <w:szCs w:val="18"/>
          <w:color w:val="auto"/>
        </w:rPr>
        <w:t>(in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8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89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(32,947)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(23,967)</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360"/>
              <w:spacing w:after="0" w:line="202" w:lineRule="exact"/>
              <w:rPr>
                <w:sz w:val="20"/>
                <w:szCs w:val="20"/>
                <w:color w:val="auto"/>
              </w:rPr>
            </w:pPr>
            <w:r>
              <w:rPr>
                <w:rFonts w:ascii="Arial" w:cs="Arial" w:eastAsia="Arial" w:hAnsi="Arial"/>
                <w:sz w:val="18"/>
                <w:szCs w:val="18"/>
                <w:color w:val="auto"/>
              </w:rPr>
              <w:t>Depreciation expense</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637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8940" w:type="dxa"/>
            <w:vAlign w:val="bottom"/>
          </w:tcPr>
          <w:p>
            <w:pPr>
              <w:ind w:left="360"/>
              <w:spacing w:after="0" w:line="202" w:lineRule="exact"/>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2,640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Non-cash lease expense</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1,073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03"/>
        </w:trPr>
        <w:tc>
          <w:tcPr>
            <w:tcW w:w="894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(3,535)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8940" w:type="dxa"/>
            <w:vAlign w:val="bottom"/>
          </w:tcPr>
          <w:p>
            <w:pPr>
              <w:ind w:left="720"/>
              <w:spacing w:after="0" w:line="202" w:lineRule="exact"/>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1,790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Lease liability</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(885)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940" w:type="dxa"/>
            <w:vAlign w:val="bottom"/>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(31,196)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(18,898)</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4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(917)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8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153,351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40" w:type="dxa"/>
            <w:vAlign w:val="bottom"/>
          </w:tcPr>
          <w:p>
            <w:pPr>
              <w:spacing w:after="0" w:line="201" w:lineRule="exact"/>
              <w:rPr>
                <w:sz w:val="20"/>
                <w:szCs w:val="20"/>
                <w:color w:val="auto"/>
              </w:rPr>
            </w:pPr>
            <w:r>
              <w:rPr>
                <w:rFonts w:ascii="Arial" w:cs="Arial" w:eastAsia="Arial" w:hAnsi="Arial"/>
                <w:sz w:val="18"/>
                <w:szCs w:val="18"/>
                <w:color w:val="auto"/>
              </w:rPr>
              <w:t>Proceeds from issuance of common stock upon initial public offering, net of underwriting discounts and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180"/>
              <w:spacing w:after="0" w:line="203" w:lineRule="exact"/>
              <w:rPr>
                <w:sz w:val="20"/>
                <w:szCs w:val="20"/>
                <w:color w:val="auto"/>
              </w:rPr>
            </w:pPr>
            <w:r>
              <w:rPr>
                <w:rFonts w:ascii="Arial" w:cs="Arial" w:eastAsia="Arial" w:hAnsi="Arial"/>
                <w:sz w:val="18"/>
                <w:szCs w:val="18"/>
                <w:color w:val="auto"/>
              </w:rPr>
              <w:t>commissions</w:t>
            </w:r>
          </w:p>
        </w:tc>
        <w:tc>
          <w:tcPr>
            <w:tcW w:w="1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98"/>
              </w:rPr>
              <w:t>258,284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deferred offering costs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(2,606)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Proceeds from issuance of convertible notes</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convertible notes issuance costs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Principal payments on term loan payable</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common stock options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108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408,506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cash, cash equivalents, and restricted cash</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376,393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(10,384)</w:t>
            </w:r>
          </w:p>
        </w:tc>
        <w:tc>
          <w:tcPr>
            <w:tcW w:w="0" w:type="dxa"/>
            <w:vAlign w:val="bottom"/>
          </w:tcPr>
          <w:p>
            <w:pPr>
              <w:spacing w:after="0"/>
              <w:rPr>
                <w:sz w:val="1"/>
                <w:szCs w:val="1"/>
                <w:color w:val="auto"/>
              </w:rPr>
            </w:pPr>
          </w:p>
        </w:tc>
      </w:tr>
      <w:tr>
        <w:trPr>
          <w:trHeight w:val="210"/>
        </w:trPr>
        <w:tc>
          <w:tcPr>
            <w:tcW w:w="894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386,919</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10,526</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Unpaid initial public offering costs included in accounts payable and accrued expenses</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40" w:type="dxa"/>
            <w:vAlign w:val="bottom"/>
          </w:tcPr>
          <w:p>
            <w:pPr>
              <w:spacing w:after="0" w:line="196" w:lineRule="exact"/>
              <w:rPr>
                <w:sz w:val="20"/>
                <w:szCs w:val="20"/>
                <w:color w:val="auto"/>
              </w:rPr>
            </w:pPr>
            <w:r>
              <w:rPr>
                <w:rFonts w:ascii="Arial" w:cs="Arial" w:eastAsia="Arial" w:hAnsi="Arial"/>
                <w:sz w:val="18"/>
                <w:szCs w:val="18"/>
                <w:color w:val="auto"/>
              </w:rPr>
              <w:t>Change in early exercise liability included in accounts payable and accrued expenses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240" w:type="dxa"/>
            <w:vAlign w:val="bottom"/>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Issuance of Series B redeemable convertible preferred stock upon conversion of convertible notes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10,095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40" w:type="dxa"/>
            <w:vAlign w:val="bottom"/>
          </w:tcPr>
          <w:p>
            <w:pPr>
              <w:spacing w:after="0" w:line="196" w:lineRule="exact"/>
              <w:rPr>
                <w:sz w:val="20"/>
                <w:szCs w:val="20"/>
                <w:color w:val="auto"/>
              </w:rPr>
            </w:pPr>
            <w:r>
              <w:rPr>
                <w:rFonts w:ascii="Arial" w:cs="Arial" w:eastAsia="Arial" w:hAnsi="Arial"/>
                <w:sz w:val="18"/>
                <w:szCs w:val="18"/>
                <w:color w:val="auto"/>
              </w:rPr>
              <w:t>Conversion of redeemable convertible preferred stock upon closing of initial public offering</w:t>
            </w:r>
          </w:p>
        </w:tc>
        <w:tc>
          <w:tcPr>
            <w:tcW w:w="120" w:type="dxa"/>
            <w:vAlign w:val="bottom"/>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216,567</w:t>
            </w:r>
          </w:p>
        </w:tc>
        <w:tc>
          <w:tcPr>
            <w:tcW w:w="240" w:type="dxa"/>
            <w:vAlign w:val="bottom"/>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Business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Silverback Therapeutics, Inc. (“Silverback” or “the Company”) is a clinical-stage biopharmaceutical company focused on leveraging its proprietary ImmunoTAC technology platform to develop systemically delivered and tissue targeted therapeutics for the treatment of cancer, chronic viral infections, and other serious diseases. The Company’s platform enables us to strategically pair proprietary linker-payloads that modulate key disease-modifying pathways with monoclonal antibodies directed at specific disease sites. The Company was formed in Seattle, Washington, and incorporated in the state of Delaware on January 4, 2016.</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November 2020, the Company’s Board of Directors approved an amendment to the Company’s certificate of incorporation to effect a reverse split of shares of the Company’s common stock on a one-for-3.713 basis, which was effected on November 30, 2020 (the “Reverse Stock Split”). The number of authorized shares and the par values of the common stock and redeemable convertible preferred stock were not adjusted as a result of the Reverse Stock Split. In connection with the Reverse Stock Split, the conversion ratio for the Company’s outstanding redeemable convertible preferred stock was proportionately adjusted such that the common stock issuable upon conversion of such preferred stock was decreased in proportion to the Reverse Stock Split. All references to common stock and options to purchase common stock share data, per share data, and related information contained in the financial statements have been retroactively adjusted to reflect the effect of the Reverse Stock Split for all periods presented.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Public Offering and Related Transaction</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On December 3, 2020, the Company’s registration statement on Form S-1 (File No. 333-250009) for its initial public offering of common stock (“IPO”) was declared effective by the Securities and Exchange Commission (“SEC”). On December 8, 2020, the Company issued and sold 13,225,000 shares of common stock in the IPO at a public offering price of $21.00 per share, resulting in net proceeds of $255.3 million after deducting underwriting discounts and commissions and offering expenses paid by the Company.</w:t>
      </w:r>
    </w:p>
    <w:p>
      <w:pPr>
        <w:spacing w:after="0" w:line="205" w:lineRule="exact"/>
        <w:rPr>
          <w:sz w:val="20"/>
          <w:szCs w:val="20"/>
          <w:color w:val="auto"/>
        </w:rPr>
      </w:pPr>
    </w:p>
    <w:p>
      <w:pPr>
        <w:ind w:left="120" w:right="400" w:firstLine="551"/>
        <w:spacing w:after="0" w:line="246" w:lineRule="auto"/>
        <w:rPr>
          <w:sz w:val="20"/>
          <w:szCs w:val="20"/>
          <w:color w:val="auto"/>
        </w:rPr>
      </w:pPr>
      <w:r>
        <w:rPr>
          <w:rFonts w:ascii="Arial" w:cs="Arial" w:eastAsia="Arial" w:hAnsi="Arial"/>
          <w:sz w:val="18"/>
          <w:szCs w:val="18"/>
          <w:color w:val="auto"/>
        </w:rPr>
        <w:t>In connection with the IPO, all 77,074,884 shares of redeemable convertible preferred stock outstanding at the time of the IPO converted into 20,758,098 shares of the Company’s common stock.</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26"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7"/>
          <w:szCs w:val="17"/>
          <w:color w:val="auto"/>
        </w:rPr>
        <w:t>The Company is subject to a number of inherent risks which include, but are not limited to, the need to obtain adequate additional funding, possible failure of clinical trials or other events demonstrating a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Additionally, the development and commercialization of new drug products is highly competitive. Products or technologies developed by competitors may diminish or render obsolete the Company’s existing products under development.</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incurred net operating losses since its inception and had an accumulated deficit of $96.7 million as of December 31, 2020. The Company had cash and cash equivalents of $386.6 million as of December 31, 2020 and has not generated positive cash flows from operations. To date, the Company has been able to fund its operations primarily through the issuance of redeemable convertible preferred stock and convertible notes. During 2020, the Company has received an aggregate of $68.4 million in gross proceeds from the issuance of shares of its Series B redeemable convertible preferred stock and an aggregate of $84.9 million in gross proceeds from the issuance of shares of its Series C redeemable convertible preferred stock. In December 2020, the Company completed an initial public offering in which it sold 13,225,000 shares of common stock at $21.00 per share and received net proceeds, after underwriting discounts and offering costs, of $255.3 million. The Company’s currently available cash and cash equivalents as of December 31, 2020 are sufficient to meet its anticipated cash requirements for the 12 months following the date the financial statements are issued. Management considers that there are no conditions or events, in the aggregate, that raise substantial doubt about the entity’s ability to continue as a going concern for a period of at least 12 months from the date the financial statements are issued.</w:t>
      </w:r>
    </w:p>
    <w:p>
      <w:pPr>
        <w:spacing w:after="0" w:line="20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Management expects operating losses to continue for the foreseeable future. There can be no assurance that the Company will ever earn revenues or achieve profitability, or if achieved, that they will be sustained on a continuing basis. In addition, the preclinical manufacturing, and clinical development activities as well as the commercialization of the Company’s products,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w:t>
      </w:r>
    </w:p>
    <w:p>
      <w:pPr>
        <w:spacing w:after="0" w:line="289" w:lineRule="exact"/>
        <w:rPr>
          <w:sz w:val="20"/>
          <w:szCs w:val="20"/>
          <w:color w:val="auto"/>
        </w:rPr>
      </w:pPr>
    </w:p>
    <w:p>
      <w:pPr>
        <w:ind w:left="120" w:right="7020" w:hanging="4"/>
        <w:spacing w:after="0" w:line="372" w:lineRule="auto"/>
        <w:tabs>
          <w:tab w:leader="none" w:pos="3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 financial statements have been prepared in conformity with U.S. generally accepted accounting principles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preparation of the Company’s financial statements requires it to make estimates and assumptions that impact the reported amounts of assets, liabilities and expenses in the Company’s financial statements and accompanying notes. The most significant estimates in the Company’s financial statements relate to accruals for research and development expenses, valuation of equity awards, and valuation allowances for deferred tax assets. These estimates and assumptions are based on current facts, historical experience, future expectations,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The full extent to which the coronavirus (COVID-19) pandemic will directly or indirectly impact the Company’s business, results of operations and financial condition, including expenses, clinical trials and research and development costs, will depend on future developments that are highly uncertain, including as a result of new information that may emerge concerning COVID-19 and the actions taken to contain or treat COVID-19, as well as the economic impact on local, regional, national and international markets. The Company has considered potential impacts arising from the COVID-19 pandemic and is not presently aware of any events or circumstances that would require the Company to update its estimates, judgments or revise the carrying value of its assets or liabilities.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Segments</w:t>
      </w:r>
    </w:p>
    <w:p>
      <w:pPr>
        <w:spacing w:after="0" w:line="126"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tissue targeted therapeutics. The Company’s chief operating decision maker, its chief executive officer, reviews financial information on an aggregate basis for the purpose of allocating resources.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are comprised of short-term, highly-liquid investments with maturities of 90 days or less at the date of purchase.</w:t>
      </w:r>
    </w:p>
    <w:p>
      <w:pPr>
        <w:ind w:left="120"/>
        <w:spacing w:after="0"/>
        <w:rPr>
          <w:sz w:val="20"/>
          <w:szCs w:val="20"/>
          <w:color w:val="auto"/>
        </w:rPr>
      </w:pPr>
      <w:r>
        <w:rPr>
          <w:rFonts w:ascii="Arial" w:cs="Arial" w:eastAsia="Arial" w:hAnsi="Arial"/>
          <w:sz w:val="18"/>
          <w:szCs w:val="18"/>
          <w:color w:val="auto"/>
        </w:rPr>
        <w:t>As of December 31, 2020 and 2019, the Company’s cash equivalents consisted of money market funds.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cash consists of a deposit securing a collateral letter of credit issued in connection with the Company’s facility operating</w:t>
      </w:r>
    </w:p>
    <w:p>
      <w:pPr>
        <w:ind w:left="120"/>
        <w:spacing w:after="0"/>
        <w:rPr>
          <w:sz w:val="20"/>
          <w:szCs w:val="20"/>
          <w:color w:val="auto"/>
        </w:rPr>
      </w:pPr>
      <w:r>
        <w:rPr>
          <w:rFonts w:ascii="Arial" w:cs="Arial" w:eastAsia="Arial" w:hAnsi="Arial"/>
          <w:sz w:val="18"/>
          <w:szCs w:val="18"/>
          <w:color w:val="auto"/>
        </w:rPr>
        <w:t>lease.</w:t>
      </w:r>
    </w:p>
    <w:p>
      <w:pPr>
        <w:spacing w:after="0" w:line="212"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balance sheets that sum to the amounts shown in the statements of cash flows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02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$ 386,569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9,976</w:t>
            </w:r>
          </w:p>
        </w:tc>
        <w:tc>
          <w:tcPr>
            <w:tcW w:w="80" w:type="dxa"/>
            <w:vAlign w:val="bottom"/>
            <w:shd w:val="clear" w:color="auto" w:fill="CCEE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550</w:t>
            </w:r>
          </w:p>
        </w:tc>
      </w:tr>
      <w:tr>
        <w:trPr>
          <w:trHeight w:val="27"/>
        </w:trPr>
        <w:tc>
          <w:tcPr>
            <w:tcW w:w="9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cash and cash equivalents and restricted cash</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$ 386,919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10,526</w:t>
            </w:r>
          </w:p>
        </w:tc>
      </w:tr>
      <w:tr>
        <w:trPr>
          <w:trHeight w:val="20"/>
        </w:trPr>
        <w:tc>
          <w:tcPr>
            <w:tcW w:w="9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34" w:lineRule="exact"/>
        <w:rPr>
          <w:sz w:val="20"/>
          <w:szCs w:val="20"/>
          <w:color w:val="auto"/>
        </w:rPr>
      </w:pPr>
    </w:p>
    <w:p>
      <w:pPr>
        <w:ind w:left="120" w:right="200" w:firstLine="551"/>
        <w:spacing w:after="0" w:line="237" w:lineRule="auto"/>
        <w:rPr>
          <w:sz w:val="20"/>
          <w:szCs w:val="20"/>
          <w:color w:val="auto"/>
        </w:rPr>
      </w:pPr>
      <w:r>
        <w:rPr>
          <w:rFonts w:ascii="Arial" w:cs="Arial" w:eastAsia="Arial" w:hAnsi="Arial"/>
          <w:sz w:val="18"/>
          <w:szCs w:val="18"/>
          <w:color w:val="auto"/>
        </w:rPr>
        <w:t>The Company is subject to credit risk from holding its cash and cash equivalents at one commercial bank. The Company limits its exposure to credit losses by investing in money market funds through a U.S. bank with high credit ratings. Cash may consist of deposits held with banks that may at times exceed federally insured limits, however, exposure to credit risk in the event of default by the financial institution is limited to the extent of amounts recorded on the balance sheets. The Company has not experienced any losses in such accounts and management believes that the Company is not exposed to significant credit risk due to the financial position of the depository institutions in which those deposits are held.</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consist primarily of operating expenses paid in advance.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Property and equipment, net consists of furniture and fixtures and laboratory equipment and is stated at cost, less accumulated depreciation. Furniture and fixtures and laboratory equipment are depreciated over the estimated useful lives of the assets (each three to five years) using the straight-line method. When assets are retired or otherwise disposed of, the cost and related accumulated depreciation are removed from the balance sheet and the resulting gain or loss is reflected in operations in the period realized. Repairs and maintenance costs are charged to expense as incurred.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 xml:space="preserve">Leases consist of the Company’s operating lease. In accordance with ASC 842, </w:t>
      </w:r>
      <w:r>
        <w:rPr>
          <w:rFonts w:ascii="Arial" w:cs="Arial" w:eastAsia="Arial" w:hAnsi="Arial"/>
          <w:sz w:val="18"/>
          <w:szCs w:val="18"/>
          <w:i w:val="1"/>
          <w:iCs w:val="1"/>
          <w:color w:val="auto"/>
        </w:rPr>
        <w:t>Leases</w:t>
      </w:r>
      <w:r>
        <w:rPr>
          <w:rFonts w:ascii="Arial" w:cs="Arial" w:eastAsia="Arial" w:hAnsi="Arial"/>
          <w:sz w:val="18"/>
          <w:szCs w:val="18"/>
          <w:color w:val="auto"/>
        </w:rPr>
        <w:t>, the Company determines if an arrangement is a lease at inception and evaluates each lease agreement to determine whether the lease is an operating or finance lease. For leases where the Company is the lessee, right-of-use (“ROU”) assets represent the Company’s right to use an underlying asset for the lease term and lease liabilities represent an obligation to make lease payments arising from the lease. ROU assets and lease liabilities are recognized at the lease commencement date based on the present value of lease payments over the lease term. The Company uses its incremental borrowing rate based on the information available at the commencement date in determining the present value of lease payments. The operating lease ROU asset also includes any prepaid lease payments, lease incentives received, and costs which will be incurred in exiting a lease. The Company’s lease includes options to extend or terminate the lease. Periods covered by an option to extend the lease are included in the lease term when it is reasonably certain that the Company will exercise that option. Periods covered by an option to terminate the lease are included in the lease term when it is reasonably certain that the Company will not exercise that option. At the inception of the lease and as of December 31, 2020, the Company was not reasonably certain that it will exercise its option to extend the lease and was not reasonably certain that it will not exercise its option to terminate the lease, therefore, the periods covered by the options are not included within the lease term. Short-term leases with an initial term of 12 months or less are not recorded on the balance sheet. The Company does not have material short-term lease costs. Lease expense for minimum lease payments is recognized on a straight-line basis over the lease term. For real estate leases, the Company does not separate lease and non-lease components. The Company’s lease agreements do not contain any material residual value guarantees or material restrictive covenants.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Long-lived assets consist of property and equipment and ROU assets. These assets are reviewed for impairment whenever facts or circumstances either internally or externally may suggest that the carrying value of an asset or asset group may not be recoverable. An impairment loss is recorded if and when events and circumstances indicate that assets might be impaired and the undiscounted cash flows estimated to be generated by those assets are less than the carrying amount of those assets. The Company has not recognized any impairment losses through December 31, 2020.</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All research and development costs are expensed in the period incurred. Research and development expenses consist primarily of direct and indirect costs incurred in connection with the development of the Company’s ImmunoTAC technology platform, discovery efforts, and preclinical study and clinical trial activities related to the Company’s program pipeline, including the Company’s lead product candidate, SBT6050. Direct costs include expenses incurred under agreements with contract research organizations (“CROs”) and other vendors that conduct the Company’s preclinical and clinical activities, expenses associated with manufacturing the Company’s product candidates including under agreements with contract development and manufacturing organizations (“CDMOs”) and other vendors, and consulting fees. Indirect costs include personnel-related expenses, consisting of employee salaries, bonuses, benefits, and stock-based compensation expense and recruiting costs for personnel engaged in research and development activities, facility and equipment related expenses, consisting of indirect and allocated expenses for rent, depreciation, and equipment maintenance, and other unallocated research and development expenses incurred in connection with the Company’s research and development programs, including laboratory materials and supplies and license fees. Research and development expenses are charged to operating expenses as incurred when these expenditures relate to the Company’s research and development efforts and have no alternative future use.</w:t>
      </w:r>
    </w:p>
    <w:p>
      <w:pPr>
        <w:spacing w:after="0" w:line="204" w:lineRule="exact"/>
        <w:rPr>
          <w:sz w:val="20"/>
          <w:szCs w:val="20"/>
          <w:color w:val="auto"/>
        </w:rPr>
      </w:pPr>
    </w:p>
    <w:p>
      <w:pPr>
        <w:ind w:left="120" w:right="200" w:firstLine="551"/>
        <w:spacing w:after="0" w:line="237" w:lineRule="auto"/>
        <w:rPr>
          <w:sz w:val="20"/>
          <w:szCs w:val="20"/>
          <w:color w:val="auto"/>
        </w:rPr>
      </w:pPr>
      <w:r>
        <w:rPr>
          <w:rFonts w:ascii="Arial" w:cs="Arial" w:eastAsia="Arial" w:hAnsi="Arial"/>
          <w:sz w:val="18"/>
          <w:szCs w:val="18"/>
          <w:color w:val="auto"/>
        </w:rPr>
        <w:t>The Company is obligated to make upfront payments upon execution of certain research and development agreements. Advance payments, including nonrefundable amounts, for goods or services that will be used or rendered for future research and development activities are capitalized until such goods are delivered or the related services are performed, or such time when the Company does not expect the goods to be delivered or services to be performed. The Company estimates the period over which such services will be performed and the level of effort to be expended in each period. If actual timing of performance or the level of effort varies from the estimate, the Company will adjust the amounts recorded accordingly. Since inception, the Company has not experienced any material differences between accrued or prepaid costs and actual costs.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General and administrative expenses consist primarily of personnel-related expenses, including employee salaries, bonuses, benefits, and stock-based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General and administrative costs are expensed as incurred.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Company has stock-based compensation plans that are described in Note 9. As of December 31, 2020, the Company had issued stock options and permitted eligible employees to participate in an employee stock purchase plan whereby shares of the Company’s common stock may be purchased at a discount. Further discussion of the measurement and expense methodology related to these programs is described below:</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cost of employee services received in exchange for an award of an equity instrument is measured at the grant date based on the award’s estimated fair value using the Black-Scholes option pricing model. The estimated fair value of the awards is recognized into expense on a straight-line basis over the requisite service period. Stock-based compensation expense for an award with a performance condition is recognized when the achievement of such performance condition is determined to be probable. If the outcome of such performance condition is not determined to be probable or is not met, no compensation expense is recognized, and any previously recognized compensation expense is reversed. Management evaluates when the achievement of a performance condition is probable based on the expected satisfaction of the performance condition at each reporting date. Forfeitures are recognized as a reduction of stock-based compensation expense as they occur. The option plan permits, but does not require, the inclusion of early exercise provisions in individual awards. Proceeds from early option exercises are recorded as a liability until the underlying restricted shares vest. While the restricted shares have voting rights, they are not considered outstanding for accounting purposes.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December 2020, the Company’s Employee Stock Purchase Plan (“ESPP”) became effective, pursuant to which eligible employees can purchase shares of the Company’s common stock at a discount to the fair market value at semi-annual intervals. In determining the grant date fair value of shares expected to be purchased under the ESPP, the Company uses the Black-Scholes option pricing model. Black-Scholes inputs are determined in the same manner as for stock option awards. The estimated grant date fair value of shares expected to be purchased is recognized into expense on a straight-line basis over the requisite service period.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0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is more likely than not able to realize its deferred tax assets in the future in excess of their net recorded amount, management would make an adjustment to the deferred tax asset valuation allowance, which would reduce the provision for income taxes in the period in which the adjustment is made.</w:t>
      </w:r>
    </w:p>
    <w:p>
      <w:pPr>
        <w:spacing w:after="0" w:line="205"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The Company records uncertain tax positions on the basis of a two-step process whereby (1) management determines whether it is more likely than not that the tax positions will be sustained 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basis of the technical merits of the position and (2)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 The Company did not have any uncertain tax positions as of December 31, 2020 and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non-owner sources. The Company’s comprehensive loss was equal to net loss for the years ended December 31, 2020 and 2019.</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 For purposes of this calculation, redeemable convertible preferred stock, stock options, employee stock purchase rights, and unvested common stock subject to repurchase are considered to be common stock equivalents but are not included in the calculations of diluted net loss per share for the periods presented as their effect would be antidilutive.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certain new or revised accounting standards that have different effective dates for public and private companies until the earlier of the date that it is (1) no longer an emerging growth company or (2)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8"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Requirements for Fair Value Measurement</w:t>
      </w:r>
      <w:r>
        <w:rPr>
          <w:rFonts w:ascii="Arial" w:cs="Arial" w:eastAsia="Arial" w:hAnsi="Arial"/>
          <w:sz w:val="18"/>
          <w:szCs w:val="18"/>
          <w:color w:val="auto"/>
        </w:rPr>
        <w:t>. The guidance is effective for fiscal years beginning after December 15, 2019,</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interim periods within those fiscal years. Early adoption is permitted. The Company adopted ASU 2018-13 on January 1, 2020 and the standard did not have a material impact on its financial statements and related disclosures.</w:t>
      </w:r>
    </w:p>
    <w:p>
      <w:pPr>
        <w:spacing w:after="0" w:line="181" w:lineRule="exact"/>
        <w:rPr>
          <w:sz w:val="20"/>
          <w:szCs w:val="20"/>
          <w:color w:val="auto"/>
        </w:rPr>
      </w:pPr>
    </w:p>
    <w:p>
      <w:pPr>
        <w:ind w:left="120" w:right="60" w:firstLine="551"/>
        <w:spacing w:after="0" w:line="26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eliminates certain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43" w:lineRule="exact"/>
        <w:rPr>
          <w:sz w:val="20"/>
          <w:szCs w:val="20"/>
          <w:color w:val="auto"/>
        </w:rPr>
      </w:pPr>
    </w:p>
    <w:p>
      <w:pPr>
        <w:ind w:left="120" w:right="200"/>
        <w:spacing w:after="0" w:line="245" w:lineRule="auto"/>
        <w:rPr>
          <w:sz w:val="20"/>
          <w:szCs w:val="20"/>
          <w:color w:val="auto"/>
        </w:rPr>
      </w:pPr>
      <w:r>
        <w:rPr>
          <w:rFonts w:ascii="Arial" w:cs="Arial" w:eastAsia="Arial" w:hAnsi="Arial"/>
          <w:sz w:val="18"/>
          <w:szCs w:val="18"/>
          <w:color w:val="auto"/>
        </w:rPr>
        <w:t xml:space="preserve">exceptions within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The guidance is effective for fiscal years beginning after December 15, 2021, with early adoption permitted. The Company adopted ASU 2019-12 on January 1, 2020 and the standard did not have a material impact on its financial statements and related disclosures.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08"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objective of the standard is to provide information about expected credit losses on financial instruments at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date and to change how other-than temporary impairments on investment securities are recorded. The guidance is effective for the Company beginning on January 1, 2023, with early adoption permitted. The Company is currently evaluating the impact the standard may have on its financial statements and related disclosures.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The Company follows authoritative accounting guidance, which among other things, defines fair value, establishes a consistent framework for measuring fair value, and expands disclosure for each major asset and liability category measured at fair value on either a recurring or nonrecurring basis. Fair value is defined as the exchange price that would be received to sell an asset or paid to transfer a liability (at exit price) in the principal or most advantageous market for the asset or liability in an orderly transaction between market participants on the measurement date. The three levels of inputs that may be used to measure fair value include:</w:t>
      </w:r>
    </w:p>
    <w:p>
      <w:pPr>
        <w:spacing w:after="0" w:line="184" w:lineRule="exact"/>
        <w:rPr>
          <w:sz w:val="20"/>
          <w:szCs w:val="20"/>
          <w:color w:val="auto"/>
        </w:rPr>
      </w:pPr>
    </w:p>
    <w:p>
      <w:pPr>
        <w:ind w:left="660" w:right="320" w:firstLine="523"/>
        <w:spacing w:after="0" w:line="26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 The Company’s Level 1 assets consist of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w:t>
      </w:r>
    </w:p>
    <w:p>
      <w:pPr>
        <w:spacing w:after="0" w:line="160" w:lineRule="exact"/>
        <w:rPr>
          <w:sz w:val="20"/>
          <w:szCs w:val="20"/>
          <w:color w:val="auto"/>
        </w:rPr>
      </w:pPr>
    </w:p>
    <w:p>
      <w:pPr>
        <w:jc w:val="both"/>
        <w:ind w:left="660" w:right="120" w:firstLine="523"/>
        <w:spacing w:after="0" w:line="250"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Level 1 prices, such as quoted prices for similar assets or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inputs that are observable or can be corroborated by observable market data for substantially the full term of the assets or liabilities.</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w:t>
      </w:r>
    </w:p>
    <w:p>
      <w:pPr>
        <w:spacing w:after="0" w:line="230" w:lineRule="exact"/>
        <w:rPr>
          <w:sz w:val="20"/>
          <w:szCs w:val="20"/>
          <w:color w:val="auto"/>
        </w:rPr>
      </w:pPr>
    </w:p>
    <w:p>
      <w:pPr>
        <w:ind w:left="120" w:right="820" w:firstLine="551"/>
        <w:spacing w:after="0" w:line="246" w:lineRule="auto"/>
        <w:rPr>
          <w:sz w:val="20"/>
          <w:szCs w:val="20"/>
          <w:color w:val="auto"/>
        </w:rPr>
      </w:pPr>
      <w:r>
        <w:rPr>
          <w:rFonts w:ascii="Arial" w:cs="Arial" w:eastAsia="Arial" w:hAnsi="Arial"/>
          <w:sz w:val="18"/>
          <w:szCs w:val="18"/>
          <w:color w:val="auto"/>
        </w:rPr>
        <w:t>The following table identifies the Company’s assets and liabilities that were measured at fair value on a recurring basis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2"/>
        </w:trPr>
        <w:tc>
          <w:tcPr>
            <w:tcW w:w="82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December 31, 2020</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386,369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9,976</w:t>
            </w:r>
          </w:p>
        </w:tc>
        <w:tc>
          <w:tcPr>
            <w:tcW w:w="2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There were no transfers between the Level 1 and Level 2 categories or into or out of the Level 3 category during the years ended December 31, 2020 and 2019.</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Property and Equipment, Net</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are summarized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3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7"/>
                <w:szCs w:val="17"/>
                <w:color w:val="auto"/>
              </w:rPr>
            </w:pPr>
          </w:p>
        </w:tc>
      </w:tr>
      <w:tr>
        <w:trPr>
          <w:trHeight w:val="209"/>
        </w:trPr>
        <w:tc>
          <w:tcPr>
            <w:tcW w:w="9320" w:type="dxa"/>
            <w:vAlign w:val="bottom"/>
          </w:tcPr>
          <w:p>
            <w:pPr>
              <w:spacing w:after="0" w:line="202" w:lineRule="exact"/>
              <w:rPr>
                <w:sz w:val="20"/>
                <w:szCs w:val="20"/>
                <w:color w:val="auto"/>
              </w:rPr>
            </w:pPr>
            <w:r>
              <w:rPr>
                <w:rFonts w:ascii="Arial" w:cs="Arial" w:eastAsia="Arial" w:hAnsi="Arial"/>
                <w:sz w:val="18"/>
                <w:szCs w:val="18"/>
                <w:color w:val="auto"/>
              </w:rPr>
              <w:t>Laboratory equipment</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2,610</w:t>
            </w:r>
          </w:p>
        </w:tc>
        <w:tc>
          <w:tcPr>
            <w:tcW w:w="120" w:type="dxa"/>
            <w:vAlign w:val="bottom"/>
          </w:tcPr>
          <w:p>
            <w:pPr>
              <w:spacing w:after="0"/>
              <w:rPr>
                <w:sz w:val="18"/>
                <w:szCs w:val="18"/>
                <w:color w:val="auto"/>
              </w:rPr>
            </w:pP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gross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2,766</w:t>
            </w:r>
          </w:p>
        </w:tc>
      </w:tr>
      <w:tr>
        <w:trPr>
          <w:trHeight w:val="209"/>
        </w:trPr>
        <w:tc>
          <w:tcPr>
            <w:tcW w:w="932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8"/>
              </w:rPr>
              <w:t>(2,052)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(1,450)</w:t>
            </w: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1,316</w:t>
            </w:r>
          </w:p>
        </w:tc>
        <w:tc>
          <w:tcPr>
            <w:tcW w:w="120" w:type="dxa"/>
            <w:vAlign w:val="bottom"/>
            <w:shd w:val="clear" w:color="auto" w:fill="CCEEFF"/>
          </w:tcPr>
          <w:p>
            <w:pPr>
              <w:spacing w:after="0"/>
              <w:rPr>
                <w:sz w:val="17"/>
                <w:szCs w:val="17"/>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640" w:firstLine="551"/>
        <w:spacing w:after="0" w:line="246" w:lineRule="auto"/>
        <w:rPr>
          <w:sz w:val="20"/>
          <w:szCs w:val="20"/>
          <w:color w:val="auto"/>
        </w:rPr>
      </w:pPr>
      <w:r>
        <w:rPr>
          <w:rFonts w:ascii="Arial" w:cs="Arial" w:eastAsia="Arial" w:hAnsi="Arial"/>
          <w:sz w:val="18"/>
          <w:szCs w:val="18"/>
          <w:color w:val="auto"/>
        </w:rPr>
        <w:t>Depreciation and amortization expense was $0.6 million and $0.5 million for the years ended December 31, 2020 and 2019, respectively.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Expenses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2,063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827</w:t>
            </w:r>
          </w:p>
        </w:tc>
        <w:tc>
          <w:tcPr>
            <w:tcW w:w="80" w:type="dxa"/>
            <w:vAlign w:val="bottom"/>
            <w:shd w:val="clear" w:color="auto" w:fill="CCEEFF"/>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Employee compensation and benefits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2,634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1,024</w:t>
            </w: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services and other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261</w:t>
            </w: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240" w:type="dxa"/>
            <w:vAlign w:val="bottom"/>
          </w:tcPr>
          <w:p>
            <w:pPr>
              <w:spacing w:after="0"/>
              <w:rPr>
                <w:sz w:val="20"/>
                <w:szCs w:val="20"/>
                <w:color w:val="auto"/>
              </w:rPr>
            </w:pPr>
            <w:r>
              <w:rPr>
                <w:rFonts w:ascii="Arial" w:cs="Arial" w:eastAsia="Arial" w:hAnsi="Arial"/>
                <w:sz w:val="18"/>
                <w:szCs w:val="18"/>
                <w:color w:val="auto"/>
              </w:rPr>
              <w:t>Total accrued expenses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5,278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2,112</w:t>
            </w: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Leases</w:t>
      </w:r>
    </w:p>
    <w:p>
      <w:pPr>
        <w:spacing w:after="0" w:line="126"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The Company leases an office and laboratory space in Seattle, Washington. The components of lease expense and related cash flows were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440" w:type="dxa"/>
            <w:vAlign w:val="bottom"/>
          </w:tcPr>
          <w:p>
            <w:pPr>
              <w:spacing w:after="0"/>
              <w:rPr>
                <w:sz w:val="15"/>
                <w:szCs w:val="15"/>
                <w:color w:val="auto"/>
              </w:rPr>
            </w:pPr>
          </w:p>
        </w:tc>
        <w:tc>
          <w:tcPr>
            <w:tcW w:w="15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44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83"/>
        </w:trPr>
        <w:tc>
          <w:tcPr>
            <w:tcW w:w="9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Lease expense</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9440" w:type="dxa"/>
            <w:vAlign w:val="bottom"/>
          </w:tcPr>
          <w:p>
            <w:pPr>
              <w:ind w:left="360"/>
              <w:spacing w:after="0" w:line="202" w:lineRule="exact"/>
              <w:rPr>
                <w:sz w:val="20"/>
                <w:szCs w:val="20"/>
                <w:color w:val="auto"/>
              </w:rPr>
            </w:pPr>
            <w:r>
              <w:rPr>
                <w:rFonts w:ascii="Arial" w:cs="Arial" w:eastAsia="Arial" w:hAnsi="Arial"/>
                <w:sz w:val="18"/>
                <w:szCs w:val="18"/>
                <w:color w:val="auto"/>
              </w:rPr>
              <w:t>Operating lease expense</w:t>
            </w: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$1,388</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$1,388</w:t>
            </w:r>
          </w:p>
        </w:tc>
      </w:tr>
      <w:tr>
        <w:trPr>
          <w:trHeight w:val="203"/>
        </w:trPr>
        <w:tc>
          <w:tcPr>
            <w:tcW w:w="9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Variable lease expense</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386</w:t>
            </w:r>
          </w:p>
        </w:tc>
        <w:tc>
          <w:tcPr>
            <w:tcW w:w="3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334</w:t>
            </w:r>
          </w:p>
        </w:tc>
        <w:tc>
          <w:tcPr>
            <w:tcW w:w="60" w:type="dxa"/>
            <w:vAlign w:val="bottom"/>
            <w:shd w:val="clear" w:color="auto" w:fill="CCEEFF"/>
          </w:tcPr>
          <w:p>
            <w:pPr>
              <w:spacing w:after="0"/>
              <w:rPr>
                <w:sz w:val="17"/>
                <w:szCs w:val="17"/>
                <w:color w:val="auto"/>
              </w:rPr>
            </w:pPr>
          </w:p>
        </w:tc>
      </w:tr>
      <w:tr>
        <w:trPr>
          <w:trHeight w:val="210"/>
        </w:trPr>
        <w:tc>
          <w:tcPr>
            <w:tcW w:w="9440" w:type="dxa"/>
            <w:vAlign w:val="bottom"/>
          </w:tcPr>
          <w:p>
            <w:pPr>
              <w:ind w:left="720"/>
              <w:spacing w:after="0"/>
              <w:rPr>
                <w:sz w:val="20"/>
                <w:szCs w:val="20"/>
                <w:color w:val="auto"/>
              </w:rPr>
            </w:pPr>
            <w:r>
              <w:rPr>
                <w:rFonts w:ascii="Arial" w:cs="Arial" w:eastAsia="Arial" w:hAnsi="Arial"/>
                <w:sz w:val="18"/>
                <w:szCs w:val="18"/>
                <w:color w:val="auto"/>
              </w:rPr>
              <w:t>Total lease expense</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1,722</w:t>
            </w:r>
          </w:p>
        </w:tc>
      </w:tr>
      <w:tr>
        <w:trPr>
          <w:trHeight w:val="20"/>
        </w:trPr>
        <w:tc>
          <w:tcPr>
            <w:tcW w:w="9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cash outflows from operating leases</w:t>
            </w:r>
          </w:p>
        </w:tc>
        <w:tc>
          <w:tcPr>
            <w:tcW w:w="9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1,591</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1,522</w:t>
            </w:r>
          </w:p>
        </w:tc>
      </w:tr>
      <w:tr>
        <w:trPr>
          <w:trHeight w:val="20"/>
        </w:trPr>
        <w:tc>
          <w:tcPr>
            <w:tcW w:w="9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The remaining term on the Company’s lease was 1.8 years and 2.8 years as of December 31, 2020 and 2019, respectively. To compute the present value of the lease liability, the Company used a discount rate of 8.5%.</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commitments due under the operating lease agreement as of December 31, 2020 are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6"/>
                <w:szCs w:val="16"/>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Amount</w:t>
            </w:r>
          </w:p>
        </w:tc>
      </w:tr>
      <w:tr>
        <w:trPr>
          <w:trHeight w:val="190"/>
        </w:trPr>
        <w:tc>
          <w:tcPr>
            <w:tcW w:w="18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2021</w:t>
            </w:r>
          </w:p>
        </w:tc>
        <w:tc>
          <w:tcPr>
            <w:tcW w:w="85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$1,132</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8520" w:type="dxa"/>
            <w:vAlign w:val="bottom"/>
          </w:tcPr>
          <w:p>
            <w:pPr>
              <w:spacing w:after="0"/>
              <w:rPr>
                <w:sz w:val="17"/>
                <w:szCs w:val="17"/>
                <w:color w:val="auto"/>
              </w:rPr>
            </w:pPr>
          </w:p>
        </w:tc>
        <w:tc>
          <w:tcPr>
            <w:tcW w:w="6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2,454</w:t>
            </w:r>
          </w:p>
        </w:tc>
        <w:tc>
          <w:tcPr>
            <w:tcW w:w="100" w:type="dxa"/>
            <w:vAlign w:val="bottom"/>
          </w:tcPr>
          <w:p>
            <w:pPr>
              <w:spacing w:after="0"/>
              <w:rPr>
                <w:sz w:val="17"/>
                <w:szCs w:val="17"/>
                <w:color w:val="auto"/>
              </w:rPr>
            </w:pPr>
          </w:p>
        </w:tc>
      </w:tr>
      <w:tr>
        <w:trPr>
          <w:trHeight w:val="203"/>
        </w:trPr>
        <w:tc>
          <w:tcPr>
            <w:tcW w:w="10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7"/>
                <w:szCs w:val="17"/>
                <w:color w:val="auto"/>
              </w:rPr>
            </w:pPr>
          </w:p>
        </w:tc>
      </w:tr>
      <w:tr>
        <w:trPr>
          <w:trHeight w:val="209"/>
        </w:trPr>
        <w:tc>
          <w:tcPr>
            <w:tcW w:w="10320" w:type="dxa"/>
            <w:vAlign w:val="bottom"/>
            <w:gridSpan w:val="2"/>
          </w:tcPr>
          <w:p>
            <w:pPr>
              <w:ind w:left="360"/>
              <w:spacing w:after="0"/>
              <w:rPr>
                <w:sz w:val="20"/>
                <w:szCs w:val="20"/>
                <w:color w:val="auto"/>
              </w:rPr>
            </w:pPr>
            <w:r>
              <w:rPr>
                <w:rFonts w:ascii="Arial" w:cs="Arial" w:eastAsia="Arial" w:hAnsi="Arial"/>
                <w:sz w:val="18"/>
                <w:szCs w:val="18"/>
                <w:color w:val="auto"/>
              </w:rPr>
              <w:t>Total undiscounted lease payments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18"/>
                <w:szCs w:val="18"/>
                <w:color w:val="auto"/>
              </w:rPr>
            </w:pPr>
          </w:p>
        </w:tc>
      </w:tr>
      <w:tr>
        <w:trPr>
          <w:trHeight w:val="203"/>
        </w:trPr>
        <w:tc>
          <w:tcPr>
            <w:tcW w:w="10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Present value adjustment</w:t>
            </w:r>
          </w:p>
        </w:tc>
        <w:tc>
          <w:tcPr>
            <w:tcW w:w="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(364)</w:t>
            </w:r>
          </w:p>
        </w:tc>
      </w:tr>
      <w:tr>
        <w:trPr>
          <w:trHeight w:val="20"/>
        </w:trPr>
        <w:tc>
          <w:tcPr>
            <w:tcW w:w="10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320" w:type="dxa"/>
            <w:vAlign w:val="bottom"/>
            <w:gridSpan w:val="2"/>
          </w:tcPr>
          <w:p>
            <w:pPr>
              <w:ind w:left="360"/>
              <w:spacing w:after="0"/>
              <w:rPr>
                <w:sz w:val="20"/>
                <w:szCs w:val="20"/>
                <w:color w:val="auto"/>
              </w:rPr>
            </w:pPr>
            <w:r>
              <w:rPr>
                <w:rFonts w:ascii="Arial" w:cs="Arial" w:eastAsia="Arial" w:hAnsi="Arial"/>
                <w:sz w:val="18"/>
                <w:szCs w:val="18"/>
                <w:color w:val="auto"/>
              </w:rPr>
              <w:t>Total present value of lease payments</w:t>
            </w:r>
          </w:p>
        </w:tc>
        <w:tc>
          <w:tcPr>
            <w:tcW w:w="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3,222</w:t>
            </w:r>
          </w:p>
        </w:tc>
        <w:tc>
          <w:tcPr>
            <w:tcW w:w="10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7940" w:hanging="4"/>
        <w:spacing w:after="0" w:line="372" w:lineRule="auto"/>
        <w:tabs>
          <w:tab w:leader="none" w:pos="3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Notes and Other Debt </w:t>
      </w:r>
      <w:r>
        <w:rPr>
          <w:rFonts w:ascii="Arial" w:cs="Arial" w:eastAsia="Arial" w:hAnsi="Arial"/>
          <w:sz w:val="18"/>
          <w:szCs w:val="18"/>
          <w:b w:val="1"/>
          <w:bCs w:val="1"/>
          <w:i w:val="1"/>
          <w:iCs w:val="1"/>
          <w:color w:val="auto"/>
        </w:rPr>
        <w:t>Convertible Notes</w:t>
      </w:r>
    </w:p>
    <w:p>
      <w:pPr>
        <w:spacing w:after="0" w:line="1" w:lineRule="exact"/>
        <w:rPr>
          <w:sz w:val="20"/>
          <w:szCs w:val="20"/>
          <w:color w:val="auto"/>
        </w:rPr>
      </w:pPr>
    </w:p>
    <w:p>
      <w:pPr>
        <w:ind w:left="120" w:right="100" w:firstLine="551"/>
        <w:spacing w:after="0" w:line="234" w:lineRule="auto"/>
        <w:rPr>
          <w:sz w:val="20"/>
          <w:szCs w:val="20"/>
          <w:color w:val="auto"/>
        </w:rPr>
      </w:pPr>
      <w:r>
        <w:rPr>
          <w:rFonts w:ascii="Arial" w:cs="Arial" w:eastAsia="Arial" w:hAnsi="Arial"/>
          <w:sz w:val="18"/>
          <w:szCs w:val="18"/>
          <w:color w:val="auto"/>
        </w:rPr>
        <w:t>In October 2019, the Company issued convertible promissory notes for proceeds of $10.0 million. The notes were unsecured, bore an interest rate of 3% per year, and had a maturity date of March 31, 2020. On March 4, 2020, these notes and accrued interest of</w:t>
      </w:r>
    </w:p>
    <w:p>
      <w:pPr>
        <w:spacing w:after="0" w:line="1" w:lineRule="exact"/>
        <w:rPr>
          <w:sz w:val="20"/>
          <w:szCs w:val="20"/>
          <w:color w:val="auto"/>
        </w:rPr>
      </w:pPr>
    </w:p>
    <w:p>
      <w:pPr>
        <w:ind w:left="120" w:right="920"/>
        <w:spacing w:after="0" w:line="246" w:lineRule="auto"/>
        <w:rPr>
          <w:sz w:val="20"/>
          <w:szCs w:val="20"/>
          <w:color w:val="auto"/>
        </w:rPr>
      </w:pPr>
      <w:r>
        <w:rPr>
          <w:rFonts w:ascii="Arial" w:cs="Arial" w:eastAsia="Arial" w:hAnsi="Arial"/>
          <w:sz w:val="18"/>
          <w:szCs w:val="18"/>
          <w:color w:val="auto"/>
        </w:rPr>
        <w:t>$0.1 million converted into 4,673,388 shares of the Company’s Series B redeemable convertible preferred stock at the Series B redeemable convertible preferred stock issuance price of $2.16 per share.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 Loan Payable</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In November 2016, the Company entered into a loan and security agreement with Silicon Valley Bank (SVB) that allowed borrowings up to $5.0 million in two tranches. $ 3.5 million was immediately drawn as a term loan by the Company. In conjunction with the term loan, SVB received a warrant to purchase 7,601 shares of the Company’s common stock with an exercise price of $2.31 per share. The warrant was recorded as a discount to the loan and an increase in additional paid-in capital. In December 2020, the warrant was exercised in full.</w:t>
      </w:r>
    </w:p>
    <w:p>
      <w:pPr>
        <w:spacing w:after="0" w:line="20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Under the terms of the agreement, the Company was able to draw an additional $ 1.5 million through a second tranche before December 31, 2017 if it met certain financing milestones. SVB was eligible to receive an additional warrant contingent upon the Company’s draw of this additional tranche. However, in December 2017, the Company amended the loan and security agreement to extend the second tranche draw window to March 31, 2018. This tranche expired undrawn. In exchange for the extension, SVB received an additional warrant to purchase 1,553 shares of the Company’s common stock with an exercise price of $ 2.42 per share and, because the tranche expired undrawn, an unused term loan fee. Neither the additional warrant to purchase common stock or the unused term loan fee were material to the financial statements. In December 2020, the warrant was exercised in full.</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outstanding principal amount of the term loan accrues interest at an annual rate of 1.75% per annum. At closing, the Company incurred de minimis debt issuance costs and owed a final payment fee of $0.3 million, both of which are amortized to interest expense over the remaining term of the debt under the effective interest method. The effective interest rate of the Company’s term loan is 5.14%. Interest expense under the term loan was not material to the financial statements for the year ended December 31, 2020 and totaled $0.1 million for the year ended December 31, 2019.</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term loan is collateralized by the Company’s tangible and intangible assets, excluding intellectual property. The proceeds are to be used as working capital and to fund general business requirements. The agreement includes customary nonfinancial covenants and events of default that include, among other things, non-payment, inaccuracy of representations and warranties, covenant breaches, cross default to material indebtedness or material agreements, bankruptcy and insolvency, material judgments, a change of control, or any material adverse event. The Company was in compliance with all related covenants as of December 31, 2020 and 2019. Given the existence of a subjective acceleration clause, all amounts due to SVB are classified as a current liability at December 31, 2020 and 2019, though SVB has not accelerated any amounts due under the debt agreement.</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term loan’s original maturity date was November 1, 2020. However, in April 2020 the Company amended the loan and security agreement to defer principal payments for six months and extend the maturity date to May 1, 2021. There were no costs or additional warrant issuances in connection with this amendment. The Company accounted for the amendment as a debt modification and is amortizing the remaining debt discount over the remaining term.</w:t>
      </w:r>
    </w:p>
    <w:p>
      <w:pPr>
        <w:spacing w:after="0" w:line="291" w:lineRule="exact"/>
        <w:rPr>
          <w:sz w:val="20"/>
          <w:szCs w:val="20"/>
          <w:color w:val="auto"/>
        </w:rPr>
      </w:pPr>
    </w:p>
    <w:p>
      <w:pPr>
        <w:ind w:left="120" w:right="4400" w:hanging="4"/>
        <w:spacing w:after="0" w:line="372" w:lineRule="auto"/>
        <w:tabs>
          <w:tab w:leader="none" w:pos="3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Stockholders’ Equity (Deficit) </w:t>
      </w:r>
      <w:r>
        <w:rPr>
          <w:rFonts w:ascii="Arial" w:cs="Arial" w:eastAsia="Arial" w:hAnsi="Arial"/>
          <w:sz w:val="18"/>
          <w:szCs w:val="18"/>
          <w:b w:val="1"/>
          <w:bCs w:val="1"/>
          <w:i w:val="1"/>
          <w:iCs w:val="1"/>
          <w:color w:val="auto"/>
        </w:rPr>
        <w:t>Authorized Shares</w:t>
      </w:r>
    </w:p>
    <w:p>
      <w:pPr>
        <w:spacing w:after="0" w:line="1"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In connection with the completion of the Company’s IPO in December 2020, the Company amended its Certificate of Incorporation to authorize 200,000,000 shares of common stock, par value $0.0001 per share, and 10,000,000 shares of preferred stock, par value $0.0001 per share.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Prior to its conversion to common stock, the Company’s redeemable convertible preferred stock was classified as mezzanine equity on the Company’s balance sheets as the shares are contingently redeemable upon a deemed liquidation such as a change in control and in that event, there is no guarantee that all stockholders would be entitled to receive the same form of consideration. No accretion to redemption value was recorded during the years ended December 31, 2020 and 2019 as a deemed liquidation event was not considered probable.</w:t>
      </w:r>
    </w:p>
    <w:p>
      <w:pPr>
        <w:spacing w:after="0" w:line="202"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The Company did not issue any redeemable convertible preferred stock during the year ended December 31, 2019. During the year ended December 31, 2020, the Company issued convertible preferred stock as follows:</w:t>
      </w:r>
    </w:p>
    <w:p>
      <w:pPr>
        <w:spacing w:after="0" w:line="197"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March 2020, the Company issued 14,701,054 shares of its Series B redeemable convertible preferred stock, including 4,673,388 shares issued upon conversion of then outstanding convertible notes and accrued interest, and 10,027,666 shares issued for cash at a purchase price of $2.16 per share, resulting in gross proceeds of $21.5 million. The Series B purchase agreement provides that the Company will issue, and the Series B holders will purchase, an additional 21,732,862 shares of the Company’s Series B redeemable convertible preferred stock across two tranches for aggregate proceeds of $46.9 million in the event that certain agreed upon milestones are achieved or the preferred majority approves their closing. The future Series B tranches did not meet the definition of freestanding instruments or the definition of derivatives, therefore, they were not accounted for separately or bifurcated.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In July 2020, the Company issued 10,669,834 shares of its Series B redeemable convertible preferred stock for cash at a purchase price of $2.16 per share, resulting in gross proceeds of $23.0 million.</w:t>
      </w:r>
    </w:p>
    <w:p>
      <w:pPr>
        <w:spacing w:after="0" w:line="197"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In September 2020, the Company issued 11,063,028 additional shares of its Series B redeemable convertible preferred stock for cash at a purchase price of $2.16 per share, resulting in gross proceeds of $23.9 million, and 24,926,685 shares of its Series C redeemable convertible preferred stock for cash at a purchase price of $3.41 per share, resulting in gross proceeds of $84.9 million.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reserved shares of common stock for the following potential future issuances: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80" w:type="dxa"/>
            <w:vAlign w:val="bottom"/>
          </w:tcPr>
          <w:p>
            <w:pPr>
              <w:spacing w:after="0"/>
              <w:rPr>
                <w:sz w:val="15"/>
                <w:szCs w:val="15"/>
                <w:color w:val="auto"/>
              </w:rPr>
            </w:pPr>
          </w:p>
        </w:tc>
        <w:tc>
          <w:tcPr>
            <w:tcW w:w="23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68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Conversion of outstanding redeemable convertible preferred stock</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4,232,232</w:t>
            </w:r>
          </w:p>
        </w:tc>
        <w:tc>
          <w:tcPr>
            <w:tcW w:w="80" w:type="dxa"/>
            <w:vAlign w:val="bottom"/>
            <w:shd w:val="clear" w:color="auto" w:fill="CCEEFF"/>
          </w:tcPr>
          <w:p>
            <w:pPr>
              <w:spacing w:after="0"/>
              <w:rPr>
                <w:sz w:val="17"/>
                <w:szCs w:val="17"/>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Shares underlying outstanding equity awards</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6,316,569</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555,636</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available for future equity award grants</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1,506,806</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433,729</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Shares underlying early exercised equity awards</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100,263</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6,046</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 of common stock warrants</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9,154</w:t>
            </w:r>
          </w:p>
        </w:tc>
      </w:tr>
      <w:tr>
        <w:trPr>
          <w:trHeight w:val="202"/>
        </w:trPr>
        <w:tc>
          <w:tcPr>
            <w:tcW w:w="8680" w:type="dxa"/>
            <w:vAlign w:val="bottom"/>
          </w:tcPr>
          <w:p>
            <w:pPr>
              <w:spacing w:after="0" w:line="202" w:lineRule="exact"/>
              <w:rPr>
                <w:sz w:val="20"/>
                <w:szCs w:val="20"/>
                <w:color w:val="auto"/>
              </w:rPr>
            </w:pPr>
            <w:r>
              <w:rPr>
                <w:rFonts w:ascii="Arial" w:cs="Arial" w:eastAsia="Arial" w:hAnsi="Arial"/>
                <w:sz w:val="18"/>
                <w:szCs w:val="18"/>
                <w:color w:val="auto"/>
              </w:rPr>
              <w:t>Shares underlying ESPP withholdings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4,393</w:t>
            </w:r>
          </w:p>
        </w:tc>
        <w:tc>
          <w:tcPr>
            <w:tcW w:w="16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7,928,031</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5,236,797</w:t>
            </w:r>
          </w:p>
        </w:tc>
      </w:tr>
      <w:tr>
        <w:trPr>
          <w:trHeight w:val="20"/>
        </w:trPr>
        <w:tc>
          <w:tcPr>
            <w:tcW w:w="8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Stock-Based Compensation</w:t>
      </w:r>
    </w:p>
    <w:p>
      <w:pPr>
        <w:spacing w:after="0" w:line="126"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Stock-based compensation expense recognized for all equity awards has been reported in the statements of operations and comprehensive loss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9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92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96"/>
        </w:trPr>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1,180</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7"/>
                <w:szCs w:val="17"/>
                <w:color w:val="auto"/>
              </w:rPr>
            </w:pPr>
          </w:p>
        </w:tc>
      </w:tr>
      <w:tr>
        <w:trPr>
          <w:trHeight w:val="210"/>
        </w:trPr>
        <w:tc>
          <w:tcPr>
            <w:tcW w:w="92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stock-based compensation expense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2,640</w:t>
            </w:r>
          </w:p>
        </w:tc>
        <w:tc>
          <w:tcPr>
            <w:tcW w:w="32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148</w:t>
            </w:r>
          </w:p>
        </w:tc>
      </w:tr>
      <w:tr>
        <w:trPr>
          <w:trHeight w:val="20"/>
        </w:trPr>
        <w:tc>
          <w:tcPr>
            <w:tcW w:w="9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As of December 31, 2020, the total unrecognized stock-based compensation expense was $60.8 million, which is expected to be recognized over a remaining weighted-average period of approximately 3.4 years.</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Stock-based compensation expense includes October 2020 and November 2020 grants that were originally granted with a strike price based upon the estimated grant date fair market value of our common stock as a private company; however, when determining the Black-Scholes value of these stock options, we utilized the public offering price of $21.00 per share as the estimated grant date fair market value of common stock.</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2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In November 2020, the Company’s board of directors and stockholders approved the 2020 Equity Incentive Plan (the “2020 Plan”). The 2020 Plan became effective upon the date of the underwriting agreement related to the IPO. Upon adoption of the 2020 Plan, the Company restricted future grants from its 2016 Equity Incentive Plan, as amended (the “2016 Plan”).</w:t>
      </w:r>
    </w:p>
    <w:p>
      <w:pPr>
        <w:spacing w:after="0" w:line="203" w:lineRule="exact"/>
        <w:rPr>
          <w:sz w:val="20"/>
          <w:szCs w:val="20"/>
          <w:color w:val="auto"/>
        </w:rPr>
      </w:pPr>
    </w:p>
    <w:p>
      <w:pPr>
        <w:ind w:left="120" w:right="20" w:firstLine="551"/>
        <w:spacing w:after="0" w:line="251" w:lineRule="auto"/>
        <w:rPr>
          <w:sz w:val="20"/>
          <w:szCs w:val="20"/>
          <w:color w:val="auto"/>
        </w:rPr>
      </w:pPr>
      <w:r>
        <w:rPr>
          <w:rFonts w:ascii="Arial" w:cs="Arial" w:eastAsia="Arial" w:hAnsi="Arial"/>
          <w:sz w:val="17"/>
          <w:szCs w:val="17"/>
          <w:color w:val="auto"/>
        </w:rPr>
        <w:t>Under the 2020 Plan, the Company may grant stock options, stock appreciation rights, restricted stock, restricted stock units, performance stock awards, performance cash awards and other forms of stock awards to employees, directors, and consultants, including employees and consultants of the Company’s affiliates. A total of 4,132,681 new shares of common stock were initially reserved for issuance under the 2020 Plan. The number of shares reserved under the 2020 Plan also includes 67,319 shares of common stock that remained available for issuance under the 2016 Plan at the time the 2020 Plan became effective and will be increased by the number of shares under the 2016 Plan that are repurchased, forfeited, expired or cancelled on or after the effective date of the 2020 Plan. In addition, the number of shares of common stock available for issuance under the 2020 Plan will automatically increase on January 1 of each calendar year, starting on January 1, 2021 through January 1, 2030, in an amount equal to 5% of the total number of shares of Common Stock outstanding on December 31 of the preceding year, or a lesser number of shares determined by the Company’s board of directors.</w:t>
      </w:r>
    </w:p>
    <w:p>
      <w:pPr>
        <w:spacing w:after="0" w:line="199"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As of December 31, 2020, the Company’s plans authorized a total of 7,824,721 shares, of which 1,506,806 shares are available for future grant, and 6,316,569 shares are outstanding. Not included in the outstanding option balance are 100,263 shares pursuant to stock options that were early exercised and subject to repurchase under the 2016 Plan that remain unvested as of December 31, 2020.</w:t>
      </w:r>
    </w:p>
    <w:p>
      <w:pPr>
        <w:spacing w:after="0" w:line="20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As of December 31, 2020, the Company has granted stock options under its equity incentive plans. Stock options granted under these plans expire no later than 10 years from the date of grant and generally vest over a four year period, with vesting either occurring at a rate of 25% at the end of the first and thereafter in 36 equal monthly installments or on a monthly basis. In the case of awards granted to our non-employee board members, vesting generally occurs on a monthly basis over three years. The Company issues new shares of common stock upon the exercise of stock options.</w:t>
      </w:r>
    </w:p>
    <w:p>
      <w:pPr>
        <w:spacing w:after="0" w:line="202"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A summary of the Company’s stock option activity for the year ended December 31, 2020 is as follows (in thousands, except share and per share data and years):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Stock Options Outstanding</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Weighted-</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Subject to</w:t>
            </w:r>
          </w:p>
        </w:tc>
        <w:tc>
          <w:tcPr>
            <w:tcW w:w="22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Average</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Price</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Life (Years)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2019</w:t>
            </w:r>
          </w:p>
        </w:tc>
        <w:tc>
          <w:tcPr>
            <w:tcW w:w="24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555,636</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w:t>
            </w: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36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5,906,735</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11.57</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36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(139,478)</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1.27</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10"/>
        </w:trPr>
        <w:tc>
          <w:tcPr>
            <w:tcW w:w="3920" w:type="dxa"/>
            <w:vAlign w:val="bottom"/>
          </w:tcPr>
          <w:p>
            <w:pPr>
              <w:spacing w:after="0" w:line="202" w:lineRule="exact"/>
              <w:rPr>
                <w:sz w:val="20"/>
                <w:szCs w:val="20"/>
                <w:color w:val="auto"/>
              </w:rPr>
            </w:pPr>
            <w:r>
              <w:rPr>
                <w:rFonts w:ascii="Arial" w:cs="Arial" w:eastAsia="Arial" w:hAnsi="Arial"/>
                <w:sz w:val="18"/>
                <w:szCs w:val="18"/>
                <w:color w:val="auto"/>
              </w:rPr>
              <w:t>Canceled</w:t>
            </w:r>
          </w:p>
        </w:tc>
        <w:tc>
          <w:tcPr>
            <w:tcW w:w="2480" w:type="dxa"/>
            <w:vAlign w:val="bottom"/>
          </w:tcPr>
          <w:p>
            <w:pPr>
              <w:spacing w:after="0"/>
              <w:rPr>
                <w:sz w:val="18"/>
                <w:szCs w:val="18"/>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(6,324)</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1.29</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2020</w:t>
            </w:r>
          </w:p>
        </w:tc>
        <w:tc>
          <w:tcPr>
            <w:tcW w:w="2480" w:type="dxa"/>
            <w:vAlign w:val="bottom"/>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6,316,569</w:t>
            </w: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10.93</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223,647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Pr>
          <w:p>
            <w:pPr>
              <w:spacing w:after="0" w:line="196" w:lineRule="exact"/>
              <w:rPr>
                <w:sz w:val="20"/>
                <w:szCs w:val="20"/>
                <w:color w:val="auto"/>
              </w:rPr>
            </w:pPr>
            <w:r>
              <w:rPr>
                <w:rFonts w:ascii="Arial" w:cs="Arial" w:eastAsia="Arial" w:hAnsi="Arial"/>
                <w:sz w:val="18"/>
                <w:szCs w:val="18"/>
                <w:color w:val="auto"/>
              </w:rPr>
              <w:t>Vested at December 31, 2020</w:t>
            </w:r>
          </w:p>
        </w:tc>
        <w:tc>
          <w:tcPr>
            <w:tcW w:w="3600" w:type="dxa"/>
            <w:vAlign w:val="bottom"/>
            <w:gridSpan w:val="3"/>
          </w:tcPr>
          <w:p>
            <w:pPr>
              <w:jc w:val="right"/>
              <w:ind w:right="260"/>
              <w:spacing w:after="0" w:line="196" w:lineRule="exact"/>
              <w:rPr>
                <w:sz w:val="20"/>
                <w:szCs w:val="20"/>
                <w:color w:val="auto"/>
              </w:rPr>
            </w:pPr>
            <w:r>
              <w:rPr>
                <w:rFonts w:ascii="Arial" w:cs="Arial" w:eastAsia="Arial" w:hAnsi="Arial"/>
                <w:sz w:val="18"/>
                <w:szCs w:val="18"/>
                <w:color w:val="auto"/>
              </w:rPr>
              <w:t>449,290</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2.20</w:t>
            </w:r>
          </w:p>
        </w:tc>
        <w:tc>
          <w:tcPr>
            <w:tcW w:w="10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7.5</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19,832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480" w:type="dxa"/>
            <w:vAlign w:val="bottom"/>
            <w:vMerge w:val="restart"/>
          </w:tcPr>
          <w:p>
            <w:pPr>
              <w:jc w:val="right"/>
              <w:ind w:right="650"/>
              <w:spacing w:after="0"/>
              <w:rPr>
                <w:sz w:val="20"/>
                <w:szCs w:val="20"/>
                <w:color w:val="auto"/>
              </w:rPr>
            </w:pPr>
            <w:r>
              <w:rPr>
                <w:rFonts w:ascii="Arial" w:cs="Arial" w:eastAsia="Arial" w:hAnsi="Arial"/>
                <w:sz w:val="18"/>
                <w:szCs w:val="18"/>
                <w:color w:val="auto"/>
              </w:rPr>
              <w:t>160</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The total fair value of shares vested during the years ended December 31, 2020 and 2019 was $1.1 million and $0.1 million, respectively. The aggregate intrinsic value in the table above is calculated as the difference between the exercise price of the underlying options and the estimated fair value of the Company’s common stock for all options that were in-the-money at December 31, 2020. The weighted-average grant date fair value per share of option grants for the years ended December 31, 2020 and 2019 was $10.50 and $0.96, respectively.</w:t>
      </w:r>
    </w:p>
    <w:p>
      <w:pPr>
        <w:spacing w:after="0" w:line="202"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The grant date fair value of stock options was estimated using a Black-Scholes option pricing model with the following weighted-average assumptions: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00" w:type="dxa"/>
            <w:vAlign w:val="bottom"/>
          </w:tcPr>
          <w:p>
            <w:pPr>
              <w:spacing w:after="0"/>
              <w:rPr>
                <w:sz w:val="14"/>
                <w:szCs w:val="14"/>
                <w:color w:val="auto"/>
              </w:rPr>
            </w:pPr>
          </w:p>
        </w:tc>
        <w:tc>
          <w:tcPr>
            <w:tcW w:w="146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8900" w:type="dxa"/>
            <w:vAlign w:val="bottom"/>
          </w:tcPr>
          <w:p>
            <w:pPr>
              <w:spacing w:after="0"/>
              <w:rPr>
                <w:sz w:val="15"/>
                <w:szCs w:val="15"/>
                <w:color w:val="auto"/>
              </w:rPr>
            </w:pPr>
          </w:p>
        </w:tc>
        <w:tc>
          <w:tcPr>
            <w:tcW w:w="14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89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(in years)</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0.51%</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r>
      <w:tr>
        <w:trPr>
          <w:trHeight w:val="217"/>
        </w:trPr>
        <w:tc>
          <w:tcPr>
            <w:tcW w:w="8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requires significant judgement.</w:t>
      </w:r>
    </w:p>
    <w:p>
      <w:pPr>
        <w:spacing w:after="0" w:line="179" w:lineRule="exact"/>
        <w:rPr>
          <w:sz w:val="20"/>
          <w:szCs w:val="20"/>
          <w:color w:val="auto"/>
        </w:rPr>
      </w:pPr>
    </w:p>
    <w:p>
      <w:pPr>
        <w:ind w:left="660" w:right="60" w:firstLine="523"/>
        <w:spacing w:after="0" w:line="252" w:lineRule="auto"/>
        <w:rPr>
          <w:sz w:val="20"/>
          <w:szCs w:val="20"/>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The grant date fair market value of the shares of common stock underlying stock options is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Company’s board of directors. Following the closing of the Company’s IPO, the fair market value of our common stock is based on its closing price as reported on the date of grant on the primary stock exchange on which the Company’s common stock is traded. Prior to the Company’s IPO, because there was no public market for the Company’s common stock, the board of directors exercised reasonable judgment and considered a number of objective and subjective factors to determine the best estimate of the fair market value, which included contemporaneous valuations performed by an independent third-party, the Company’s results of operations and financial position, including its levels of available capital resources, its stage of development and material risks related to the Company’s business, progress of the Company’s research and development activities, the Company’s business conditions and projections, the lack of marketability of the Company’s common stock and preferred stock as a private company, the prices at which the Company sold shares of its redeemable convertible preferred stock to outside investors in arms-length transactions, the rights, preferences and privileges of the Company’s redeemable convertible preferred stock relative to those of its common stock, the analysis of IPOs and the market performance of similar companies in the biopharmaceutical industry, the likelihood of achieving a liquidity event for the Company’s securityholders, such as an IPO or a sale of the company, given prevailing market conditions, the hiring of key personnel and the experience of management, trends and developments in the Company’s industry and external market conditions affecting the life sciences and biotechnology industry sectors.</w:t>
      </w:r>
    </w:p>
    <w:p>
      <w:pPr>
        <w:spacing w:after="0" w:line="175" w:lineRule="exact"/>
        <w:rPr>
          <w:sz w:val="20"/>
          <w:szCs w:val="20"/>
          <w:color w:val="auto"/>
        </w:rPr>
      </w:pPr>
    </w:p>
    <w:p>
      <w:pPr>
        <w:ind w:left="660" w:right="120" w:firstLine="523"/>
        <w:spacing w:after="0" w:line="24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options granted are expected to be outstanding.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stock options issued is determined using the simplified method (based on the mid-point between the vesting date and the end of the contractual term) as the Company has concluded that its stock option exercise history does not provide a reasonable basis upon which to estimate expected term.</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43" w:lineRule="exact"/>
        <w:rPr>
          <w:sz w:val="20"/>
          <w:szCs w:val="20"/>
          <w:color w:val="auto"/>
        </w:rPr>
      </w:pPr>
    </w:p>
    <w:p>
      <w:pPr>
        <w:ind w:left="660" w:right="220" w:firstLine="523"/>
        <w:spacing w:after="0" w:line="242"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Given the Company’s limited historical stock price volatility data, the Company derived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from the average historical volatilities over a period approximately equal to the expected term of comparable publicly traded companies within its peer group that were deemed to be representative of future stock price trends as the Company has limited trading history for its common stock. The Company will continue to apply this process until a sufficient amount of historical information regarding the volatility of its own stock price becomes available.</w:t>
      </w:r>
    </w:p>
    <w:p>
      <w:pPr>
        <w:spacing w:after="0" w:line="185" w:lineRule="exact"/>
        <w:rPr>
          <w:sz w:val="20"/>
          <w:szCs w:val="20"/>
          <w:color w:val="auto"/>
        </w:rPr>
      </w:pPr>
    </w:p>
    <w:p>
      <w:pPr>
        <w:ind w:left="660" w:right="160" w:firstLine="523"/>
        <w:spacing w:after="0" w:line="26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rate, with maturities similar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stock options.</w:t>
      </w:r>
    </w:p>
    <w:p>
      <w:pPr>
        <w:spacing w:after="0" w:line="160" w:lineRule="exact"/>
        <w:rPr>
          <w:sz w:val="20"/>
          <w:szCs w:val="20"/>
          <w:color w:val="auto"/>
        </w:rPr>
      </w:pPr>
    </w:p>
    <w:p>
      <w:pPr>
        <w:ind w:left="660" w:right="220" w:firstLine="523"/>
        <w:spacing w:after="0" w:line="26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paid dividends on its common stock and does not anticipate paying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in the foreseeable future. Therefore, the Company uses an expected dividend yield of zero.</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November 2020, the Company’s board of directors and stockholders approved and adopted the 2020 ESPP. The ESPP became effective immediately prior to the date of the underwriting agreement related to the IPO. 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percent of the lower of the fair market value of the common stock at the commencement date of each offering period or the relevant date of purchase. A total of 350,000 shares of common stock were initially reserved for issuance under the ESPP. In addition, the number of shares of common stock available for issuance under the ESPP will automatically increase on January 1 of each calendar year, starting on January 1, 2021 through January 1, 2030, in an amount equal to the lesser of (i) 1% of the total number of shares of the Company’s common stock outstanding on December 31st of the preceding calendar year, and (ii) 700,000 shares of the Company’s common stock, or a lesser number of shares determined by the Company’s board of directors.</w:t>
      </w:r>
    </w:p>
    <w:p>
      <w:pPr>
        <w:spacing w:after="0" w:line="206"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As of December 31, 2020, no shares were issued under the ESPP. The weighted average per share fair value rights granted during the year ended December 31, 2020 was $10.28.</w:t>
      </w:r>
    </w:p>
    <w:p>
      <w:pPr>
        <w:spacing w:after="0" w:line="197"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determining the grant date fair value of shares to be issued under the ESPP, the Company uses the Black-Scholes option pricing model. The Black-Scholes inputs are determined in the same manner as for stock option awards. The weighted average inputs used for the ESPP for the year ended December 31, 2020, were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366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3660" w:type="dxa"/>
            <w:vAlign w:val="bottom"/>
            <w:tcBorders>
              <w:bottom w:val="single" w:sz="8" w:color="CCEEFF"/>
            </w:tcBorders>
          </w:tcPr>
          <w:p>
            <w:pPr>
              <w:spacing w:after="0"/>
              <w:rPr>
                <w:sz w:val="13"/>
                <w:szCs w:val="13"/>
                <w:color w:val="auto"/>
              </w:rPr>
            </w:pPr>
          </w:p>
        </w:tc>
        <w:tc>
          <w:tcPr>
            <w:tcW w:w="620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(in years)</w:t>
            </w:r>
          </w:p>
        </w:tc>
        <w:tc>
          <w:tcPr>
            <w:tcW w:w="6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7"/>
                <w:szCs w:val="17"/>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73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82%</w:t>
            </w:r>
          </w:p>
        </w:tc>
      </w:tr>
      <w:tr>
        <w:trPr>
          <w:trHeight w:val="202"/>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73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0.11%</w:t>
            </w:r>
          </w:p>
        </w:tc>
      </w:tr>
      <w:tr>
        <w:trPr>
          <w:trHeight w:val="217"/>
        </w:trPr>
        <w:tc>
          <w:tcPr>
            <w:tcW w:w="3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350"/>
        </w:trPr>
        <w:tc>
          <w:tcPr>
            <w:tcW w:w="3660" w:type="dxa"/>
            <w:vAlign w:val="bottom"/>
          </w:tcPr>
          <w:p>
            <w:pPr>
              <w:spacing w:after="0"/>
              <w:rPr>
                <w:sz w:val="24"/>
                <w:szCs w:val="24"/>
                <w:color w:val="auto"/>
              </w:rPr>
            </w:pPr>
          </w:p>
        </w:tc>
        <w:tc>
          <w:tcPr>
            <w:tcW w:w="6200" w:type="dxa"/>
            <w:vAlign w:val="bottom"/>
          </w:tcPr>
          <w:p>
            <w:pPr>
              <w:jc w:val="right"/>
              <w:ind w:right="4110"/>
              <w:spacing w:after="0"/>
              <w:rPr>
                <w:sz w:val="20"/>
                <w:szCs w:val="20"/>
                <w:color w:val="auto"/>
              </w:rPr>
            </w:pPr>
            <w:r>
              <w:rPr>
                <w:rFonts w:ascii="Arial" w:cs="Arial" w:eastAsia="Arial" w:hAnsi="Arial"/>
                <w:sz w:val="18"/>
                <w:szCs w:val="18"/>
                <w:color w:val="auto"/>
              </w:rPr>
              <w:t>162</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Taxes</w:t>
      </w:r>
    </w:p>
    <w:p>
      <w:pPr>
        <w:spacing w:after="0" w:line="126"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The Company’s effective tax rates for the years ended December 31, 2020 and 2019 differ from the U.S. federal statutory rate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8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9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3"/>
                <w:szCs w:val="13"/>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at the federal statutory rate</w:t>
            </w:r>
          </w:p>
        </w:tc>
        <w:tc>
          <w:tcPr>
            <w:tcW w:w="3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$(6,919)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$(5,033)</w:t>
            </w:r>
          </w:p>
        </w:tc>
        <w:tc>
          <w:tcPr>
            <w:tcW w:w="120" w:type="dxa"/>
            <w:vAlign w:val="bottom"/>
            <w:shd w:val="clear" w:color="auto" w:fill="CCEEFF"/>
          </w:tcPr>
          <w:p>
            <w:pPr>
              <w:spacing w:after="0"/>
              <w:rPr>
                <w:sz w:val="17"/>
                <w:szCs w:val="17"/>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Benefit from R&amp;D tax credits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(561)</w:t>
            </w: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Other temporary and permanent differences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7,153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5,597</w:t>
            </w:r>
          </w:p>
        </w:tc>
        <w:tc>
          <w:tcPr>
            <w:tcW w:w="120" w:type="dxa"/>
            <w:vAlign w:val="bottom"/>
            <w:shd w:val="clear" w:color="auto" w:fill="CCEEFF"/>
          </w:tcPr>
          <w:p>
            <w:pPr>
              <w:spacing w:after="0"/>
              <w:rPr>
                <w:sz w:val="17"/>
                <w:szCs w:val="17"/>
                <w:color w:val="auto"/>
              </w:rPr>
            </w:pPr>
          </w:p>
        </w:tc>
      </w:tr>
      <w:tr>
        <w:trPr>
          <w:trHeight w:val="210"/>
        </w:trPr>
        <w:tc>
          <w:tcPr>
            <w:tcW w:w="898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93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9420" w:type="dxa"/>
            <w:vAlign w:val="bottom"/>
            <w:gridSpan w:val="3"/>
          </w:tcPr>
          <w:p>
            <w:pPr>
              <w:ind w:left="540"/>
              <w:spacing w:after="0"/>
              <w:rPr>
                <w:sz w:val="20"/>
                <w:szCs w:val="20"/>
                <w:color w:val="auto"/>
              </w:rPr>
            </w:pPr>
            <w:r>
              <w:rPr>
                <w:rFonts w:ascii="Arial" w:cs="Arial" w:eastAsia="Arial" w:hAnsi="Arial"/>
                <w:sz w:val="18"/>
                <w:szCs w:val="18"/>
                <w:color w:val="auto"/>
              </w:rPr>
              <w:t>The significant components of the Company’s deferred tax assets and liabilities were as follows (in thousands):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8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8980" w:type="dxa"/>
            <w:vAlign w:val="bottom"/>
          </w:tcPr>
          <w:p>
            <w:pPr>
              <w:spacing w:after="0"/>
              <w:rPr>
                <w:sz w:val="13"/>
                <w:szCs w:val="13"/>
                <w:color w:val="auto"/>
              </w:rPr>
            </w:pPr>
          </w:p>
        </w:tc>
        <w:tc>
          <w:tcPr>
            <w:tcW w:w="740" w:type="dxa"/>
            <w:vAlign w:val="bottom"/>
            <w:gridSpan w:val="3"/>
          </w:tcPr>
          <w:p>
            <w:pPr>
              <w:jc w:val="right"/>
              <w:ind w:right="11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4"/>
          </w:tcPr>
          <w:p>
            <w:pPr>
              <w:jc w:val="right"/>
              <w:ind w:right="13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83"/>
        </w:trPr>
        <w:tc>
          <w:tcPr>
            <w:tcW w:w="8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w:t>
            </w:r>
          </w:p>
        </w:tc>
        <w:tc>
          <w:tcPr>
            <w:tcW w:w="960" w:type="dxa"/>
            <w:vAlign w:val="bottom"/>
            <w:gridSpan w:val="4"/>
          </w:tcPr>
          <w:p>
            <w:pPr>
              <w:jc w:val="right"/>
              <w:ind w:right="130"/>
              <w:spacing w:after="0" w:line="202" w:lineRule="exact"/>
              <w:rPr>
                <w:sz w:val="20"/>
                <w:szCs w:val="20"/>
                <w:color w:val="auto"/>
              </w:rPr>
            </w:pPr>
            <w:r>
              <w:rPr>
                <w:rFonts w:ascii="Arial" w:cs="Arial" w:eastAsia="Arial" w:hAnsi="Arial"/>
                <w:sz w:val="18"/>
                <w:szCs w:val="18"/>
                <w:color w:val="auto"/>
              </w:rPr>
              <w:t>$ 18,832</w:t>
            </w:r>
          </w:p>
        </w:tc>
        <w:tc>
          <w:tcPr>
            <w:tcW w:w="140" w:type="dxa"/>
            <w:vAlign w:val="bottom"/>
          </w:tcPr>
          <w:p>
            <w:pPr>
              <w:spacing w:after="0"/>
              <w:rPr>
                <w:sz w:val="17"/>
                <w:szCs w:val="17"/>
                <w:color w:val="auto"/>
              </w:rPr>
            </w:pPr>
          </w:p>
        </w:tc>
        <w:tc>
          <w:tcPr>
            <w:tcW w:w="940" w:type="dxa"/>
            <w:vAlign w:val="bottom"/>
            <w:gridSpan w:val="5"/>
          </w:tcPr>
          <w:p>
            <w:pPr>
              <w:jc w:val="right"/>
              <w:ind w:right="120"/>
              <w:spacing w:after="0" w:line="202" w:lineRule="exact"/>
              <w:rPr>
                <w:sz w:val="20"/>
                <w:szCs w:val="20"/>
                <w:color w:val="auto"/>
              </w:rPr>
            </w:pPr>
            <w:r>
              <w:rPr>
                <w:rFonts w:ascii="Arial" w:cs="Arial" w:eastAsia="Arial" w:hAnsi="Arial"/>
                <w:sz w:val="18"/>
                <w:szCs w:val="18"/>
                <w:color w:val="auto"/>
              </w:rPr>
              <w:t>$ 12,575</w:t>
            </w: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Lease liability</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3"/>
              </w:rPr>
              <w:t>677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862</w:t>
            </w: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R&amp;D tax credit carryforward</w:t>
            </w:r>
          </w:p>
        </w:tc>
        <w:tc>
          <w:tcPr>
            <w:tcW w:w="960" w:type="dxa"/>
            <w:vAlign w:val="bottom"/>
            <w:gridSpan w:val="4"/>
          </w:tcPr>
          <w:p>
            <w:pPr>
              <w:jc w:val="right"/>
              <w:ind w:right="130"/>
              <w:spacing w:after="0" w:line="202" w:lineRule="exact"/>
              <w:rPr>
                <w:sz w:val="20"/>
                <w:szCs w:val="20"/>
                <w:color w:val="auto"/>
              </w:rPr>
            </w:pPr>
            <w:r>
              <w:rPr>
                <w:rFonts w:ascii="Arial" w:cs="Arial" w:eastAsia="Arial" w:hAnsi="Arial"/>
                <w:sz w:val="18"/>
                <w:szCs w:val="18"/>
                <w:color w:val="auto"/>
              </w:rPr>
              <w:t>1,502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941</w:t>
            </w: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deferred tax assets</w:t>
            </w:r>
          </w:p>
        </w:tc>
        <w:tc>
          <w:tcPr>
            <w:tcW w:w="3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336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r>
      <w:tr>
        <w:trPr>
          <w:trHeight w:val="210"/>
        </w:trPr>
        <w:tc>
          <w:tcPr>
            <w:tcW w:w="8980" w:type="dxa"/>
            <w:vAlign w:val="bottom"/>
          </w:tcPr>
          <w:p>
            <w:pPr>
              <w:ind w:left="1080"/>
              <w:spacing w:after="0"/>
              <w:rPr>
                <w:sz w:val="20"/>
                <w:szCs w:val="20"/>
                <w:color w:val="auto"/>
              </w:rPr>
            </w:pPr>
            <w:r>
              <w:rPr>
                <w:rFonts w:ascii="Arial" w:cs="Arial" w:eastAsia="Arial" w:hAnsi="Arial"/>
                <w:sz w:val="18"/>
                <w:szCs w:val="18"/>
                <w:color w:val="auto"/>
              </w:rPr>
              <w:t>Total deferred tax assets</w:t>
            </w:r>
          </w:p>
        </w:tc>
        <w:tc>
          <w:tcPr>
            <w:tcW w:w="960" w:type="dxa"/>
            <w:vAlign w:val="bottom"/>
            <w:gridSpan w:val="4"/>
          </w:tcPr>
          <w:p>
            <w:pPr>
              <w:jc w:val="right"/>
              <w:ind w:right="130"/>
              <w:spacing w:after="0"/>
              <w:rPr>
                <w:sz w:val="20"/>
                <w:szCs w:val="20"/>
                <w:color w:val="auto"/>
              </w:rPr>
            </w:pPr>
            <w:r>
              <w:rPr>
                <w:rFonts w:ascii="Arial" w:cs="Arial" w:eastAsia="Arial" w:hAnsi="Arial"/>
                <w:sz w:val="18"/>
                <w:szCs w:val="18"/>
                <w:color w:val="auto"/>
              </w:rPr>
              <w:t>21,347</w:t>
            </w:r>
          </w:p>
        </w:tc>
        <w:tc>
          <w:tcPr>
            <w:tcW w:w="140" w:type="dxa"/>
            <w:vAlign w:val="bottom"/>
          </w:tcPr>
          <w:p>
            <w:pPr>
              <w:spacing w:after="0"/>
              <w:rPr>
                <w:sz w:val="18"/>
                <w:szCs w:val="18"/>
                <w:color w:val="auto"/>
              </w:rPr>
            </w:pPr>
          </w:p>
        </w:tc>
        <w:tc>
          <w:tcPr>
            <w:tcW w:w="940" w:type="dxa"/>
            <w:vAlign w:val="bottom"/>
            <w:gridSpan w:val="5"/>
          </w:tcPr>
          <w:p>
            <w:pPr>
              <w:jc w:val="right"/>
              <w:ind w:right="120"/>
              <w:spacing w:after="0"/>
              <w:rPr>
                <w:sz w:val="20"/>
                <w:szCs w:val="20"/>
                <w:color w:val="auto"/>
              </w:rPr>
            </w:pPr>
            <w:r>
              <w:rPr>
                <w:rFonts w:ascii="Arial" w:cs="Arial" w:eastAsia="Arial" w:hAnsi="Arial"/>
                <w:sz w:val="18"/>
                <w:szCs w:val="18"/>
                <w:color w:val="auto"/>
              </w:rPr>
              <w:t>14,419</w:t>
            </w: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liabilities—Right of use asset</w:t>
            </w:r>
          </w:p>
        </w:tc>
        <w:tc>
          <w:tcPr>
            <w:tcW w:w="960" w:type="dxa"/>
            <w:vAlign w:val="bottom"/>
            <w:gridSpan w:val="4"/>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(683)</w:t>
            </w:r>
          </w:p>
        </w:tc>
      </w:tr>
      <w:tr>
        <w:trPr>
          <w:trHeight w:val="209"/>
        </w:trPr>
        <w:tc>
          <w:tcPr>
            <w:tcW w:w="898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960" w:type="dxa"/>
            <w:vAlign w:val="bottom"/>
            <w:gridSpan w:val="4"/>
          </w:tcPr>
          <w:p>
            <w:pPr>
              <w:jc w:val="right"/>
              <w:ind w:right="70"/>
              <w:spacing w:after="0" w:line="202" w:lineRule="exact"/>
              <w:rPr>
                <w:sz w:val="20"/>
                <w:szCs w:val="20"/>
                <w:color w:val="auto"/>
              </w:rPr>
            </w:pPr>
            <w:r>
              <w:rPr>
                <w:rFonts w:ascii="Arial" w:cs="Arial" w:eastAsia="Arial" w:hAnsi="Arial"/>
                <w:sz w:val="18"/>
                <w:szCs w:val="18"/>
                <w:color w:val="auto"/>
              </w:rPr>
              <w:t>(20,889)</w:t>
            </w:r>
          </w:p>
        </w:tc>
        <w:tc>
          <w:tcPr>
            <w:tcW w:w="140" w:type="dxa"/>
            <w:vAlign w:val="bottom"/>
          </w:tcPr>
          <w:p>
            <w:pPr>
              <w:spacing w:after="0"/>
              <w:rPr>
                <w:sz w:val="18"/>
                <w:szCs w:val="18"/>
                <w:color w:val="auto"/>
              </w:rPr>
            </w:pPr>
          </w:p>
        </w:tc>
        <w:tc>
          <w:tcPr>
            <w:tcW w:w="940" w:type="dxa"/>
            <w:vAlign w:val="bottom"/>
            <w:gridSpan w:val="5"/>
          </w:tcPr>
          <w:p>
            <w:pPr>
              <w:jc w:val="right"/>
              <w:ind w:right="60"/>
              <w:spacing w:after="0" w:line="202" w:lineRule="exact"/>
              <w:rPr>
                <w:sz w:val="20"/>
                <w:szCs w:val="20"/>
                <w:color w:val="auto"/>
              </w:rPr>
            </w:pPr>
            <w:r>
              <w:rPr>
                <w:rFonts w:ascii="Arial" w:cs="Arial" w:eastAsia="Arial" w:hAnsi="Arial"/>
                <w:sz w:val="18"/>
                <w:szCs w:val="18"/>
                <w:color w:val="auto"/>
              </w:rPr>
              <w:t>(13,736)</w:t>
            </w: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340" w:type="dxa"/>
            <w:vAlign w:val="bottom"/>
            <w:tcBorders>
              <w:top w:val="single" w:sz="8" w:color="auto"/>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0"/>
        </w:trPr>
        <w:tc>
          <w:tcPr>
            <w:tcW w:w="8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00" w:firstLine="551"/>
        <w:spacing w:after="0" w:line="257" w:lineRule="auto"/>
        <w:rPr>
          <w:sz w:val="20"/>
          <w:szCs w:val="20"/>
          <w:color w:val="auto"/>
        </w:rPr>
      </w:pPr>
      <w:r>
        <w:rPr>
          <w:rFonts w:ascii="Arial" w:cs="Arial" w:eastAsia="Arial" w:hAnsi="Arial"/>
          <w:sz w:val="17"/>
          <w:szCs w:val="17"/>
          <w:color w:val="auto"/>
        </w:rPr>
        <w:t>At December 31, 2020, the Company had net operating loss carryforwards for income tax purposes of approximately $89.7 million. If not used, $18.2 million of this carryforward will begin to expire in 2036 and $71.5 million has no expiration. At December 31, 2020, the Company also had research and development tax credits of approximately $1.5 million which will begin to expire in 2037 if left unused. The Company did not have any foreign tax provision and did not generate material net operating losses in any states with an income tax.</w:t>
      </w:r>
    </w:p>
    <w:p>
      <w:pPr>
        <w:spacing w:after="0" w:line="189"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FASB ASC 740 requires that the tax benefit of net operating losses, temporary differences, and credit carryforwards be recorded as an asset to the extent that management assesses the realization is “more likely than not.” Realization of the future tax benefits from the net operating losses or credit carryforwards, if any, is dependent on the Company’s ability to generate sufficient taxable income within the applicable carryforward period. Because of the Company’s recent history of operating losses, the Company maintains a full valuation allowance in the amount of $20.9 million and $13.7 million for the years ended December 31, 2020 and 2019, respectively.</w:t>
      </w:r>
    </w:p>
    <w:p>
      <w:pPr>
        <w:spacing w:after="0" w:line="202"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Company may have already experienced one or more ownership changes. Depending on the timing of any future utilization of its carryforwards, the Company may be limited as to the amount that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can be utilized each year as a result of such previous ownership changes. However, the Company does not believe such limitations will cause its carryforwards to expire unutilized.</w:t>
      </w:r>
    </w:p>
    <w:p>
      <w:pPr>
        <w:spacing w:after="0" w:line="197"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Future changes in the Company’s stock ownership as well as other changes that may be outside the Company’s control could potentially result in further limitations on the Company’s ability to utilize its net operating loss and tax credit carryforwards.</w:t>
      </w:r>
    </w:p>
    <w:p>
      <w:pPr>
        <w:spacing w:after="0" w:line="197"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As of December 31, 2020 and 2019, the Company did not have any liabilities for unrecognized income tax benefits associated with uncertain tax positions, including any interest and penalties.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Licensing Agreement</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Cell Line License Agreement with WuXi Biologics (Hong Kong) Limited</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October 2019, the Company entered into a cell line license agreement with WuXi Biologics (Hong Kong) Limited (“WuXi Bio”). Under the license agreement, WuXi Bio granted the Company a non-exclusive, worldwide, sublicensable, under certain of WuXi Bio’s intellectual property rights, know-how and biological materials (“WuXi Bio Licensed Technology”), to make, use, sell, offer for sale and import a product developed through the use of the WuXi Bio Licensed Technology (“WuXi Bio Licensed Product”). The WuXi Bio Licensed Technology is currently used to manufacture a component of the Company’s lead product, SBT6050.</w:t>
      </w:r>
    </w:p>
    <w:p>
      <w:pPr>
        <w:spacing w:after="0" w:line="20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consideration for the license, the Company paid WuXi Bio a license fee of $100,000 which was recorded as research and development expense in 2019 accordance with ASC 730. In 2020 we incurred an additional license fee of $50,000 to WuXi Bio which was recorded in research and development expense in 2020. In the event the Company manufactures its commercial supplies of a product produced by the Licensed Cell Line using a manufacturer other than WuXi Bio or its affiliates, the Company will become obligated to pay WuXi Bio aggregate milestone payments, upon achievement of certain sales milestones, of up to $10.8 million.</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Company has the right to terminate the license by giving at least six months prior written notice to WuXi Bio and paying all amounts due to them through the termination date. In the event the Company fails to pay all amounts due to WuXi Bio under the license agreement, and fails to pay the amounts within 30 days after receiving written notice of such failure, WuXi Bio may terminate the license with 45 days written notice to the Company. In the event either party commits a material breach under the license and fails to cure the breach within 30 days after receiving written notice from the other party of such breach, either party may terminate the license immediately upon written notice to the other party.</w:t>
      </w:r>
    </w:p>
    <w:p>
      <w:pPr>
        <w:spacing w:after="0" w:line="291" w:lineRule="exact"/>
        <w:rPr>
          <w:sz w:val="20"/>
          <w:szCs w:val="20"/>
          <w:color w:val="auto"/>
        </w:rPr>
      </w:pPr>
    </w:p>
    <w:p>
      <w:pPr>
        <w:ind w:left="120" w:right="7820" w:hanging="4"/>
        <w:spacing w:after="0" w:line="372" w:lineRule="auto"/>
        <w:tabs>
          <w:tab w:leader="none" w:pos="4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Legal Proceedings</w:t>
      </w:r>
    </w:p>
    <w:p>
      <w:pPr>
        <w:spacing w:after="0" w:line="1"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can be reasonably estimated. Significant judgment is required to determine both probability and the estimated amount.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intends to enter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global COVID-19 pandemic continues to rapidly evolve, and management continue to monitor the situation closely. The extent of the impact of COVID-19 on the Company’s business, operations and clinical development timelines and plans remains uncertain, and will depend on certain developments, including the duration and spread of the outbreak and its impact on the Company’s clinical trial enrollment, trial sites, CROs, third-party manufacturers, and other third parties with whom the Company does business, as well as its impact on regulatory authorities and the Company’s key scientific and management personnel. The ultimate impact of the COVID-19 pandemic or a similar health epidemic is highly uncertain and subject to change. To the extent possible, management is conducting business as usual, with necessary or advisable modifications to employee travel and most of the Company’s non-lab based employees working remotely. Management will continue to actively monitor the rapidly evolving situation related to COVID-19 and may take further actions that alter Company operations, including those that may be required by federal, state or local authorities, or that management determines are in the best interests of the Company’s employees and other third parties with whom the Company does business. At this point, the extent to which the COVID-19 pandemic may affect the Company’s business, operations and clinical development timelines and plans, including the resulting impact on Company expenditures and capital needs, remains uncertain and is subject to change.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Related Party Transactions</w:t>
      </w:r>
    </w:p>
    <w:p>
      <w:pPr>
        <w:spacing w:after="0" w:line="126"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Company reimburses certain travel expenses incurred by one of its investors to support the business. Amounts due to the investor totaled less than $0.1 million as of December 31, 2020 and 2019. Reimbursable travel expenses incurred by the investor totaled less than $0.1 million during each of the years ended December 31, 2020 and 2019.</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Employee Benefit Plans</w:t>
      </w:r>
    </w:p>
    <w:p>
      <w:pPr>
        <w:spacing w:after="0" w:line="126"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The Company maintains a retirement plan, which is qualified under section 401(k) of the Internal Revenue Code of 1986, as amended, for the Company’s U.S. employees. The plan allows eligible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Silverback Therapeutics, Inc.</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740"/>
        <w:spacing w:after="0" w:line="246" w:lineRule="auto"/>
        <w:rPr>
          <w:sz w:val="20"/>
          <w:szCs w:val="20"/>
          <w:color w:val="auto"/>
        </w:rPr>
      </w:pPr>
      <w:r>
        <w:rPr>
          <w:rFonts w:ascii="Arial" w:cs="Arial" w:eastAsia="Arial" w:hAnsi="Arial"/>
          <w:sz w:val="18"/>
          <w:szCs w:val="18"/>
          <w:color w:val="auto"/>
        </w:rPr>
        <w:t>employees to defer, at the employee’s discretion, pretax compensation up to the IRS annual limits. The Company does not match contributions made by employees.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Net Loss Per Share Attributable to Common Stockholders</w:t>
      </w:r>
    </w:p>
    <w:p>
      <w:pPr>
        <w:spacing w:after="0" w:line="126"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3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280" w:type="dxa"/>
            <w:vAlign w:val="bottom"/>
            <w:tcBorders>
              <w:bottom w:val="single" w:sz="8" w:color="CCEEFF"/>
            </w:tcBorders>
          </w:tcPr>
          <w:p>
            <w:pPr>
              <w:spacing w:after="0"/>
              <w:rPr>
                <w:sz w:val="13"/>
                <w:szCs w:val="13"/>
                <w:color w:val="auto"/>
              </w:rPr>
            </w:pPr>
          </w:p>
        </w:tc>
        <w:tc>
          <w:tcPr>
            <w:tcW w:w="440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4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4,232,232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Common stock options</w:t>
            </w:r>
          </w:p>
        </w:tc>
        <w:tc>
          <w:tcPr>
            <w:tcW w:w="56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6,316,569</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555,636</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common stock</w:t>
            </w:r>
          </w:p>
        </w:tc>
        <w:tc>
          <w:tcPr>
            <w:tcW w:w="56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100,263</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Common stock warrants</w:t>
            </w:r>
          </w:p>
        </w:tc>
        <w:tc>
          <w:tcPr>
            <w:tcW w:w="440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ESPP withholdings</w:t>
            </w:r>
          </w:p>
        </w:tc>
        <w:tc>
          <w:tcPr>
            <w:tcW w:w="4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4,393</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Pr>
          <w:p>
            <w:pPr>
              <w:spacing w:after="0"/>
              <w:rPr>
                <w:sz w:val="20"/>
                <w:szCs w:val="20"/>
                <w:color w:val="auto"/>
              </w:rPr>
            </w:pPr>
            <w:r>
              <w:rPr>
                <w:rFonts w:ascii="Arial" w:cs="Arial" w:eastAsia="Arial" w:hAnsi="Arial"/>
                <w:sz w:val="18"/>
                <w:szCs w:val="18"/>
                <w:color w:val="auto"/>
              </w:rPr>
              <w:t>Total potentially dilutive shares</w:t>
            </w:r>
          </w:p>
        </w:tc>
        <w:tc>
          <w:tcPr>
            <w:tcW w:w="4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6,421,225</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4,803,068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400" w:type="dxa"/>
            <w:vAlign w:val="bottom"/>
            <w:vMerge w:val="restart"/>
          </w:tcPr>
          <w:p>
            <w:pPr>
              <w:jc w:val="right"/>
              <w:ind w:right="2930"/>
              <w:spacing w:after="0"/>
              <w:rPr>
                <w:sz w:val="20"/>
                <w:szCs w:val="20"/>
                <w:color w:val="auto"/>
              </w:rPr>
            </w:pPr>
            <w:r>
              <w:rPr>
                <w:rFonts w:ascii="Arial" w:cs="Arial" w:eastAsia="Arial" w:hAnsi="Arial"/>
                <w:sz w:val="18"/>
                <w:szCs w:val="18"/>
                <w:color w:val="auto"/>
              </w:rPr>
              <w:t>166</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As required by Rules 13a-15(b) and 15d-15(b) of the Exchange Act, our management with the participation of our Chief Executive Officer and our Chief Financial Officer, evaluated the effectiveness of our disclosure controls and procedures as of December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2020, our Chief Executive Officer and our Chief Financial Officer concluded that, as of such date, our disclosure controls and procedures were effective at the reasonable assurance level.</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6" w:lineRule="exact"/>
        <w:rPr>
          <w:sz w:val="20"/>
          <w:szCs w:val="20"/>
          <w:color w:val="auto"/>
        </w:rPr>
      </w:pPr>
    </w:p>
    <w:p>
      <w:pPr>
        <w:jc w:val="both"/>
        <w:ind w:left="120" w:right="140" w:firstLine="551"/>
        <w:spacing w:after="0"/>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2020 that have materially affected, or are reasonably likely to materially affect, our internal control over financial reporting.</w:t>
      </w:r>
    </w:p>
    <w:p>
      <w:pPr>
        <w:spacing w:after="0" w:line="283" w:lineRule="exact"/>
        <w:rPr>
          <w:sz w:val="20"/>
          <w:szCs w:val="20"/>
          <w:color w:val="auto"/>
        </w:rPr>
      </w:pPr>
    </w:p>
    <w:p>
      <w:pPr>
        <w:jc w:val="center"/>
        <w:ind w:right="8560"/>
        <w:spacing w:after="0"/>
        <w:rPr>
          <w:sz w:val="20"/>
          <w:szCs w:val="20"/>
          <w:color w:val="auto"/>
        </w:rPr>
      </w:pPr>
      <w:r>
        <w:rPr>
          <w:rFonts w:ascii="Arial" w:cs="Arial" w:eastAsia="Arial" w:hAnsi="Arial"/>
          <w:sz w:val="18"/>
          <w:szCs w:val="18"/>
          <w:b w:val="1"/>
          <w:bCs w:val="1"/>
          <w:color w:val="auto"/>
        </w:rPr>
        <w:t>Item 9B. Other Information.</w:t>
      </w:r>
    </w:p>
    <w:p>
      <w:pPr>
        <w:spacing w:after="0" w:line="126" w:lineRule="exact"/>
        <w:rPr>
          <w:sz w:val="20"/>
          <w:szCs w:val="20"/>
          <w:color w:val="auto"/>
        </w:rPr>
      </w:pPr>
    </w:p>
    <w:p>
      <w:pPr>
        <w:jc w:val="center"/>
        <w:ind w:right="858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jc w:val="both"/>
        <w:ind w:left="120" w:firstLine="551"/>
        <w:spacing w:after="0" w:line="272" w:lineRule="auto"/>
        <w:rPr>
          <w:sz w:val="20"/>
          <w:szCs w:val="20"/>
          <w:color w:val="auto"/>
        </w:rPr>
      </w:pPr>
      <w:r>
        <w:rPr>
          <w:rFonts w:ascii="Arial" w:cs="Arial" w:eastAsia="Arial" w:hAnsi="Arial"/>
          <w:sz w:val="17"/>
          <w:szCs w:val="17"/>
          <w:color w:val="auto"/>
        </w:rPr>
        <w:t xml:space="preserve">Information required by this item and not set forth below will be set forth in the sections headed </w:t>
      </w:r>
      <w:r>
        <w:rPr>
          <w:rFonts w:ascii="Arial" w:cs="Arial" w:eastAsia="Arial" w:hAnsi="Arial"/>
          <w:sz w:val="17"/>
          <w:szCs w:val="17"/>
          <w:i w:val="1"/>
          <w:iCs w:val="1"/>
          <w:color w:val="auto"/>
        </w:rPr>
        <w:t>Election of Directors</w:t>
      </w:r>
      <w:r>
        <w:rPr>
          <w:rFonts w:ascii="Arial" w:cs="Arial" w:eastAsia="Arial" w:hAnsi="Arial"/>
          <w:sz w:val="17"/>
          <w:szCs w:val="17"/>
          <w:color w:val="auto"/>
        </w:rPr>
        <w:t xml:space="preserve"> and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Officers </w:t>
      </w:r>
      <w:r>
        <w:rPr>
          <w:rFonts w:ascii="Arial" w:cs="Arial" w:eastAsia="Arial" w:hAnsi="Arial"/>
          <w:sz w:val="17"/>
          <w:szCs w:val="17"/>
          <w:color w:val="auto"/>
        </w:rPr>
        <w:t>contained in our definitive Proxy Statement to be filed with the Commission within 120 days after the conclusion of our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(the “Proxy Statement”) pursuant to General Instructions G(3) of Form 10-K and is incorporated herein by reference.</w:t>
      </w:r>
    </w:p>
    <w:p>
      <w:pPr>
        <w:spacing w:after="0" w:line="177"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have adopted a Code of Business Conduct and Ethics that applies to all officers, directors and employees, including our principal executive officer, principal financial officer, principal accounting officer or controller, or person performing similar functions. A current copy of the Code of Business Conduct and Ethics is available on the Corporate Governance section of our website at www.silverbacktx.com. If we make any substantive amendments to the Code of Business Conduct and Ethics or grants any waiver from a provision of the Code of Business Conduct and Ethics to any executive officer or director that are required to be disclosed pursuant to SEC rules, we will promptly disclose the nature of the amendment or waiver on our website or in a current report on Form 8-K.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left="120" w:right="680" w:firstLine="551"/>
        <w:spacing w:after="0" w:line="267" w:lineRule="auto"/>
        <w:rPr>
          <w:sz w:val="20"/>
          <w:szCs w:val="20"/>
          <w:color w:val="auto"/>
        </w:rPr>
      </w:pPr>
      <w:r>
        <w:rPr>
          <w:rFonts w:ascii="Arial" w:cs="Arial" w:eastAsia="Arial" w:hAnsi="Arial"/>
          <w:sz w:val="18"/>
          <w:szCs w:val="18"/>
          <w:color w:val="auto"/>
        </w:rPr>
        <w:t xml:space="preserve">The information required by this item will be set forth in our Proxy Statement in the sections headed </w:t>
      </w:r>
      <w:r>
        <w:rPr>
          <w:rFonts w:ascii="Arial" w:cs="Arial" w:eastAsia="Arial" w:hAnsi="Arial"/>
          <w:sz w:val="18"/>
          <w:szCs w:val="18"/>
          <w:i w:val="1"/>
          <w:iCs w:val="1"/>
          <w:color w:val="auto"/>
        </w:rPr>
        <w:t>Executive and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Director Compensation </w:t>
      </w:r>
      <w:r>
        <w:rPr>
          <w:rFonts w:ascii="Arial" w:cs="Arial" w:eastAsia="Arial" w:hAnsi="Arial"/>
          <w:sz w:val="18"/>
          <w:szCs w:val="18"/>
          <w:color w:val="auto"/>
        </w:rPr>
        <w:t>contained in our Proxy Statement and is incorporated herein by reference.</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left="120" w:right="480" w:firstLine="551"/>
        <w:spacing w:after="0" w:line="296" w:lineRule="auto"/>
        <w:rPr>
          <w:sz w:val="20"/>
          <w:szCs w:val="20"/>
          <w:color w:val="auto"/>
        </w:rPr>
      </w:pPr>
      <w:r>
        <w:rPr>
          <w:rFonts w:ascii="Arial" w:cs="Arial" w:eastAsia="Arial" w:hAnsi="Arial"/>
          <w:sz w:val="17"/>
          <w:szCs w:val="17"/>
          <w:color w:val="auto"/>
        </w:rPr>
        <w:t xml:space="preserve">Information required by this item will be set forth in the sections headed </w:t>
      </w:r>
      <w:r>
        <w:rPr>
          <w:rFonts w:ascii="Arial" w:cs="Arial" w:eastAsia="Arial" w:hAnsi="Arial"/>
          <w:sz w:val="17"/>
          <w:szCs w:val="17"/>
          <w:i w:val="1"/>
          <w:iCs w:val="1"/>
          <w:color w:val="auto"/>
        </w:rPr>
        <w:t>Security Ownership of Certain Beneficial Owners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Management </w:t>
      </w:r>
      <w:r>
        <w:rPr>
          <w:rFonts w:ascii="Arial" w:cs="Arial" w:eastAsia="Arial" w:hAnsi="Arial"/>
          <w:sz w:val="17"/>
          <w:szCs w:val="17"/>
          <w:color w:val="auto"/>
        </w:rPr>
        <w:t>and</w:t>
      </w:r>
      <w:r>
        <w:rPr>
          <w:rFonts w:ascii="Arial" w:cs="Arial" w:eastAsia="Arial" w:hAnsi="Arial"/>
          <w:sz w:val="17"/>
          <w:szCs w:val="17"/>
          <w:i w:val="1"/>
          <w:iCs w:val="1"/>
          <w:color w:val="auto"/>
        </w:rPr>
        <w:t xml:space="preserve"> Executive and Director Compensation </w:t>
      </w:r>
      <w:r>
        <w:rPr>
          <w:rFonts w:ascii="Arial" w:cs="Arial" w:eastAsia="Arial" w:hAnsi="Arial"/>
          <w:sz w:val="17"/>
          <w:szCs w:val="17"/>
          <w:color w:val="auto"/>
        </w:rPr>
        <w:t>contained in our Proxy Statement and is incorporated herein by reference.</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left="120" w:right="180" w:firstLine="551"/>
        <w:spacing w:after="0" w:line="296" w:lineRule="auto"/>
        <w:rPr>
          <w:sz w:val="20"/>
          <w:szCs w:val="20"/>
          <w:color w:val="auto"/>
        </w:rPr>
      </w:pPr>
      <w:r>
        <w:rPr>
          <w:rFonts w:ascii="Arial" w:cs="Arial" w:eastAsia="Arial" w:hAnsi="Arial"/>
          <w:sz w:val="17"/>
          <w:szCs w:val="17"/>
          <w:color w:val="auto"/>
        </w:rPr>
        <w:t xml:space="preserve">Information required by this item will be set forth in the sections headed </w:t>
      </w:r>
      <w:r>
        <w:rPr>
          <w:rFonts w:ascii="Arial" w:cs="Arial" w:eastAsia="Arial" w:hAnsi="Arial"/>
          <w:sz w:val="17"/>
          <w:szCs w:val="17"/>
          <w:i w:val="1"/>
          <w:iCs w:val="1"/>
          <w:color w:val="auto"/>
        </w:rPr>
        <w:t>Certain Related-Person Transactions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Regarding the Board of Directors and Corporate Governance </w:t>
      </w:r>
      <w:r>
        <w:rPr>
          <w:rFonts w:ascii="Arial" w:cs="Arial" w:eastAsia="Arial" w:hAnsi="Arial"/>
          <w:sz w:val="17"/>
          <w:szCs w:val="17"/>
          <w:color w:val="auto"/>
        </w:rPr>
        <w:t>contained in our Proxy Statement and is incorporated herein by reference.</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ind w:left="120" w:right="120" w:firstLine="551"/>
        <w:spacing w:after="0" w:line="267" w:lineRule="auto"/>
        <w:rPr>
          <w:sz w:val="20"/>
          <w:szCs w:val="20"/>
          <w:color w:val="auto"/>
        </w:rPr>
      </w:pPr>
      <w:r>
        <w:rPr>
          <w:rFonts w:ascii="Arial" w:cs="Arial" w:eastAsia="Arial" w:hAnsi="Arial"/>
          <w:sz w:val="18"/>
          <w:szCs w:val="18"/>
          <w:color w:val="auto"/>
        </w:rPr>
        <w:t xml:space="preserve">Information required by this item will be set forth in the sections headed </w:t>
      </w:r>
      <w:r>
        <w:rPr>
          <w:rFonts w:ascii="Arial" w:cs="Arial" w:eastAsia="Arial" w:hAnsi="Arial"/>
          <w:sz w:val="18"/>
          <w:szCs w:val="18"/>
          <w:i w:val="1"/>
          <w:iCs w:val="1"/>
          <w:color w:val="auto"/>
        </w:rPr>
        <w:t>Ratification of Selection of Independent Registered Public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Firm </w:t>
      </w:r>
      <w:r>
        <w:rPr>
          <w:rFonts w:ascii="Arial" w:cs="Arial" w:eastAsia="Arial" w:hAnsi="Arial"/>
          <w:sz w:val="18"/>
          <w:szCs w:val="18"/>
          <w:color w:val="auto"/>
        </w:rPr>
        <w:t>contained in our Proxy Statement and is incorporated herein by reference.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4" w:lineRule="exact"/>
        <w:rPr>
          <w:sz w:val="20"/>
          <w:szCs w:val="20"/>
          <w:color w:val="auto"/>
        </w:rPr>
      </w:pPr>
    </w:p>
    <w:p>
      <w:pPr>
        <w:ind w:left="380" w:hanging="264"/>
        <w:spacing w:after="0"/>
        <w:tabs>
          <w:tab w:leader="none" w:pos="38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Documents filed as part of this report.</w:t>
      </w:r>
    </w:p>
    <w:p>
      <w:pPr>
        <w:spacing w:after="0" w:line="107" w:lineRule="exact"/>
        <w:rPr>
          <w:rFonts w:ascii="Arial" w:cs="Arial" w:eastAsia="Arial" w:hAnsi="Arial"/>
          <w:sz w:val="18"/>
          <w:szCs w:val="18"/>
          <w:b w:val="1"/>
          <w:bCs w:val="1"/>
          <w:i w:val="1"/>
          <w:iCs w:val="1"/>
          <w:color w:val="auto"/>
        </w:rPr>
      </w:pPr>
    </w:p>
    <w:p>
      <w:pPr>
        <w:ind w:left="120" w:firstLine="547"/>
        <w:spacing w:after="0" w:line="259" w:lineRule="auto"/>
        <w:tabs>
          <w:tab w:leader="none" w:pos="941" w:val="left"/>
        </w:tabs>
        <w:numPr>
          <w:ilvl w:val="1"/>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following financial statements of Silverback Therapeutics, Inc., together with the report of Ernst &amp;</w:t>
      </w:r>
      <w:r>
        <w:rPr>
          <w:rFonts w:ascii="Arial" w:cs="Arial" w:eastAsia="Arial" w:hAnsi="Arial"/>
          <w:sz w:val="17"/>
          <w:szCs w:val="17"/>
          <w:i w:val="1"/>
          <w:iCs w:val="1"/>
          <w:color w:val="auto"/>
        </w:rPr>
        <w:t xml:space="preserve"> </w:t>
      </w:r>
      <w:r>
        <w:rPr>
          <w:rFonts w:ascii="Arial" w:cs="Arial" w:eastAsia="Arial" w:hAnsi="Arial"/>
          <w:sz w:val="17"/>
          <w:szCs w:val="17"/>
          <w:color w:val="auto"/>
        </w:rPr>
        <w:t>Young LLP, an independent registered public accounting firm, required to be filed pursuant to Part II, Item 8 of this Annual Report on Form</w:t>
      </w:r>
    </w:p>
    <w:p>
      <w:pPr>
        <w:spacing w:after="0" w:line="1"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10-K are included on the following pages: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40" w:type="dxa"/>
            <w:vAlign w:val="bottom"/>
            <w:gridSpan w:val="19"/>
            <w:vMerge w:val="restart"/>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Report of Independent Registered Public Accounting Firm</w:t>
              </w:r>
            </w:hyperlink>
          </w:p>
        </w:tc>
        <w:tc>
          <w:tcPr>
            <w:tcW w:w="1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8340" w:type="dxa"/>
            <w:vAlign w:val="bottom"/>
            <w:gridSpan w:val="19"/>
            <w:vMerge w:val="continue"/>
          </w:tcPr>
          <w:p>
            <w:pPr>
              <w:spacing w:after="0"/>
              <w:rPr>
                <w:sz w:val="14"/>
                <w:szCs w:val="14"/>
                <w:color w:val="auto"/>
              </w:rPr>
            </w:pPr>
          </w:p>
        </w:tc>
        <w:tc>
          <w:tcPr>
            <w:tcW w:w="1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Borders>
              <w:top w:val="single" w:sz="8" w:color="auto"/>
            </w:tcBorders>
            <w:gridSpan w:val="7"/>
          </w:tcPr>
          <w:p>
            <w:pPr>
              <w:jc w:val="right"/>
              <w:spacing w:after="0" w:line="169"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146">
              <w:r>
                <w:rPr>
                  <w:rFonts w:ascii="Arial" w:cs="Arial" w:eastAsia="Arial" w:hAnsi="Arial"/>
                  <w:sz w:val="18"/>
                  <w:szCs w:val="18"/>
                  <w:color w:val="0000EE"/>
                  <w:w w:val="98"/>
                </w:rPr>
                <w:t>Balance Sheets</w:t>
              </w:r>
            </w:hyperlink>
          </w:p>
        </w:tc>
        <w:tc>
          <w:tcPr>
            <w:tcW w:w="4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10"/>
          </w:tcPr>
          <w:p>
            <w:pPr>
              <w:jc w:val="right"/>
              <w:ind w:right="20"/>
              <w:spacing w:after="0" w:line="18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83"/>
        </w:trPr>
        <w:tc>
          <w:tcPr>
            <w:tcW w:w="8340" w:type="dxa"/>
            <w:vAlign w:val="bottom"/>
            <w:gridSpan w:val="19"/>
          </w:tcPr>
          <w:p>
            <w:pPr>
              <w:spacing w:after="0" w:line="182" w:lineRule="exact"/>
              <w:rPr>
                <w:rFonts w:ascii="Arial" w:cs="Arial" w:eastAsia="Arial" w:hAnsi="Arial"/>
                <w:sz w:val="18"/>
                <w:szCs w:val="18"/>
                <w:color w:val="0000EE"/>
              </w:rPr>
            </w:pPr>
            <w:hyperlink w:anchor="page147">
              <w:r>
                <w:rPr>
                  <w:rFonts w:ascii="Arial" w:cs="Arial" w:eastAsia="Arial" w:hAnsi="Arial"/>
                  <w:sz w:val="18"/>
                  <w:szCs w:val="18"/>
                  <w:color w:val="0000EE"/>
                </w:rPr>
                <w:t>Statements of Operations and Comprehensive Loss</w:t>
              </w:r>
            </w:hyperlink>
          </w:p>
        </w:tc>
        <w:tc>
          <w:tcPr>
            <w:tcW w:w="2620" w:type="dxa"/>
            <w:vAlign w:val="bottom"/>
            <w:gridSpan w:val="10"/>
          </w:tcPr>
          <w:p>
            <w:pPr>
              <w:jc w:val="right"/>
              <w:ind w:right="20"/>
              <w:spacing w:after="0" w:line="18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130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4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148">
              <w:r>
                <w:rPr>
                  <w:rFonts w:ascii="Arial" w:cs="Arial" w:eastAsia="Arial" w:hAnsi="Arial"/>
                  <w:sz w:val="18"/>
                  <w:szCs w:val="18"/>
                  <w:color w:val="0000EE"/>
                  <w:w w:val="99"/>
                </w:rPr>
                <w:t>Statements of Redeemable Convertible Preferred Stock and Stockholders’ Equity (Deficit)</w:t>
              </w:r>
            </w:hyperlink>
          </w:p>
        </w:tc>
        <w:tc>
          <w:tcPr>
            <w:tcW w:w="1200" w:type="dxa"/>
            <w:vAlign w:val="bottom"/>
            <w:gridSpan w:val="2"/>
          </w:tcPr>
          <w:p>
            <w:pPr>
              <w:spacing w:after="0"/>
              <w:rPr>
                <w:sz w:val="15"/>
                <w:szCs w:val="15"/>
                <w:color w:val="auto"/>
              </w:rPr>
            </w:pPr>
          </w:p>
        </w:tc>
        <w:tc>
          <w:tcPr>
            <w:tcW w:w="2620" w:type="dxa"/>
            <w:vAlign w:val="bottom"/>
            <w:gridSpan w:val="10"/>
          </w:tcPr>
          <w:p>
            <w:pPr>
              <w:jc w:val="right"/>
              <w:ind w:right="20"/>
              <w:spacing w:after="0" w:line="18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83"/>
        </w:trPr>
        <w:tc>
          <w:tcPr>
            <w:tcW w:w="210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149">
              <w:r>
                <w:rPr>
                  <w:rFonts w:ascii="Arial" w:cs="Arial" w:eastAsia="Arial" w:hAnsi="Arial"/>
                  <w:sz w:val="18"/>
                  <w:szCs w:val="18"/>
                  <w:color w:val="0000EE"/>
                  <w:w w:val="98"/>
                </w:rPr>
                <w:t>Statements of Cash Flows</w:t>
              </w:r>
            </w:hyperlink>
          </w:p>
        </w:tc>
        <w:tc>
          <w:tcPr>
            <w:tcW w:w="6240" w:type="dxa"/>
            <w:vAlign w:val="bottom"/>
            <w:gridSpan w:val="15"/>
          </w:tcPr>
          <w:p>
            <w:pPr>
              <w:spacing w:after="0"/>
              <w:rPr>
                <w:sz w:val="15"/>
                <w:szCs w:val="15"/>
                <w:color w:val="auto"/>
              </w:rPr>
            </w:pPr>
          </w:p>
        </w:tc>
        <w:tc>
          <w:tcPr>
            <w:tcW w:w="2620" w:type="dxa"/>
            <w:vAlign w:val="bottom"/>
            <w:gridSpan w:val="10"/>
          </w:tcPr>
          <w:p>
            <w:pPr>
              <w:jc w:val="right"/>
              <w:ind w:right="20"/>
              <w:spacing w:after="0" w:line="182"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150">
              <w:r>
                <w:rPr>
                  <w:rFonts w:ascii="Arial" w:cs="Arial" w:eastAsia="Arial" w:hAnsi="Arial"/>
                  <w:sz w:val="18"/>
                  <w:szCs w:val="18"/>
                  <w:color w:val="0000EE"/>
                  <w:w w:val="99"/>
                </w:rPr>
                <w:t>Notes to Financial Statements</w:t>
              </w:r>
            </w:hyperlink>
          </w:p>
        </w:tc>
        <w:tc>
          <w:tcPr>
            <w:tcW w:w="5940" w:type="dxa"/>
            <w:vAlign w:val="bottom"/>
            <w:gridSpan w:val="14"/>
          </w:tcPr>
          <w:p>
            <w:pPr>
              <w:spacing w:after="0"/>
              <w:rPr>
                <w:sz w:val="15"/>
                <w:szCs w:val="15"/>
                <w:color w:val="auto"/>
              </w:rPr>
            </w:pPr>
          </w:p>
        </w:tc>
        <w:tc>
          <w:tcPr>
            <w:tcW w:w="2620" w:type="dxa"/>
            <w:vAlign w:val="bottom"/>
            <w:gridSpan w:val="10"/>
          </w:tcPr>
          <w:p>
            <w:pPr>
              <w:jc w:val="right"/>
              <w:ind w:right="20"/>
              <w:spacing w:after="0" w:line="18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439"/>
        </w:trPr>
        <w:tc>
          <w:tcPr>
            <w:tcW w:w="8340" w:type="dxa"/>
            <w:vAlign w:val="bottom"/>
            <w:gridSpan w:val="19"/>
          </w:tcPr>
          <w:p>
            <w:pPr>
              <w:ind w:left="5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None.</w:t>
            </w: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340" w:type="dxa"/>
            <w:vAlign w:val="bottom"/>
            <w:gridSpan w:val="19"/>
          </w:tcPr>
          <w:p>
            <w:pPr>
              <w:ind w:left="54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List of exhibits required by Item 601 of Regulation S-K</w:t>
            </w:r>
            <w:r>
              <w:rPr>
                <w:rFonts w:ascii="Arial" w:cs="Arial" w:eastAsia="Arial" w:hAnsi="Arial"/>
                <w:sz w:val="18"/>
                <w:szCs w:val="18"/>
                <w:color w:val="auto"/>
              </w:rPr>
              <w:t>. See part (b) below.</w:t>
            </w: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 Exhibits.</w:t>
            </w: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gridSpan w:val="6"/>
          </w:tcPr>
          <w:p>
            <w:pPr>
              <w:ind w:left="1040"/>
              <w:spacing w:after="0"/>
              <w:rPr>
                <w:sz w:val="20"/>
                <w:szCs w:val="20"/>
                <w:color w:val="auto"/>
              </w:rPr>
            </w:pPr>
            <w:r>
              <w:rPr>
                <w:rFonts w:ascii="Arial" w:cs="Arial" w:eastAsia="Arial" w:hAnsi="Arial"/>
                <w:sz w:val="14"/>
                <w:szCs w:val="14"/>
                <w:b w:val="1"/>
                <w:bCs w:val="1"/>
                <w:color w:val="auto"/>
              </w:rPr>
              <w:t>Description</w:t>
            </w:r>
          </w:p>
        </w:tc>
        <w:tc>
          <w:tcPr>
            <w:tcW w:w="1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40" w:type="dxa"/>
            <w:vAlign w:val="bottom"/>
            <w:gridSpan w:val="16"/>
          </w:tcPr>
          <w:p>
            <w:pPr>
              <w:spacing w:after="0"/>
              <w:rPr>
                <w:rFonts w:ascii="Arial" w:cs="Arial" w:eastAsia="Arial" w:hAnsi="Arial"/>
                <w:sz w:val="18"/>
                <w:szCs w:val="18"/>
                <w:color w:val="0000EE"/>
              </w:rPr>
            </w:pPr>
            <w:hyperlink r:id="rId225">
              <w:r>
                <w:rPr>
                  <w:rFonts w:ascii="Arial" w:cs="Arial" w:eastAsia="Arial" w:hAnsi="Arial"/>
                  <w:sz w:val="18"/>
                  <w:szCs w:val="18"/>
                  <w:color w:val="0000EE"/>
                </w:rPr>
                <w:t>Amended and Restated Certificate of Incorporation (incorporated by reference to Exhibit</w:t>
              </w:r>
            </w:hyperlink>
          </w:p>
        </w:tc>
        <w:tc>
          <w:tcPr>
            <w:tcW w:w="2620" w:type="dxa"/>
            <w:vAlign w:val="bottom"/>
            <w:gridSpan w:val="10"/>
          </w:tcPr>
          <w:p>
            <w:pPr>
              <w:ind w:left="60"/>
              <w:spacing w:after="0"/>
              <w:rPr>
                <w:rFonts w:ascii="Arial" w:cs="Arial" w:eastAsia="Arial" w:hAnsi="Arial"/>
                <w:sz w:val="18"/>
                <w:szCs w:val="18"/>
                <w:color w:val="0000EE"/>
              </w:rPr>
            </w:pPr>
            <w:hyperlink r:id="rId225">
              <w:r>
                <w:rPr>
                  <w:rFonts w:ascii="Arial" w:cs="Arial" w:eastAsia="Arial" w:hAnsi="Arial"/>
                  <w:sz w:val="18"/>
                  <w:szCs w:val="18"/>
                  <w:color w:val="0000EE"/>
                </w:rPr>
                <w:t>3.1 to the registrant’s Current</w:t>
              </w:r>
            </w:hyperlink>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225">
              <w:r>
                <w:rPr>
                  <w:rFonts w:ascii="Arial" w:cs="Arial" w:eastAsia="Arial" w:hAnsi="Arial"/>
                  <w:sz w:val="18"/>
                  <w:szCs w:val="18"/>
                  <w:color w:val="0000EE"/>
                  <w:w w:val="99"/>
                </w:rPr>
                <w:t>Report on Form 8-K, filed with the SEC on December 8, 2020).</w:t>
              </w:r>
            </w:hyperlink>
          </w:p>
        </w:tc>
        <w:tc>
          <w:tcPr>
            <w:tcW w:w="2040" w:type="dxa"/>
            <w:vAlign w:val="bottom"/>
            <w:tcBorders>
              <w:top w:val="single" w:sz="8" w:color="0000EE"/>
            </w:tcBorders>
            <w:gridSpan w:val="4"/>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gridSpan w:val="26"/>
          </w:tcPr>
          <w:p>
            <w:pPr>
              <w:spacing w:after="0"/>
              <w:rPr>
                <w:rFonts w:ascii="Arial" w:cs="Arial" w:eastAsia="Arial" w:hAnsi="Arial"/>
                <w:sz w:val="18"/>
                <w:szCs w:val="18"/>
                <w:color w:val="0000EE"/>
              </w:rPr>
            </w:pPr>
            <w:hyperlink r:id="rId226">
              <w:r>
                <w:rPr>
                  <w:rFonts w:ascii="Arial" w:cs="Arial" w:eastAsia="Arial" w:hAnsi="Arial"/>
                  <w:sz w:val="18"/>
                  <w:szCs w:val="18"/>
                  <w:color w:val="0000EE"/>
                </w:rPr>
                <w:t>Amended and Restated Bylaws (incorporated by reference to Exhibit 3.2 to the registrant’s Current Report on Form 8-K,</w:t>
              </w:r>
            </w:hyperlink>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226">
              <w:r>
                <w:rPr>
                  <w:rFonts w:ascii="Arial" w:cs="Arial" w:eastAsia="Arial" w:hAnsi="Arial"/>
                  <w:sz w:val="18"/>
                  <w:szCs w:val="18"/>
                  <w:color w:val="0000EE"/>
                </w:rPr>
                <w:t>filed with the SEC on December 8, 2020).</w:t>
              </w:r>
            </w:hyperlink>
          </w:p>
        </w:tc>
        <w:tc>
          <w:tcPr>
            <w:tcW w:w="174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tcBorders>
              <w:top w:val="single" w:sz="8" w:color="0000EE"/>
            </w:tcBorders>
            <w:gridSpan w:val="9"/>
          </w:tcPr>
          <w:p>
            <w:pPr>
              <w:spacing w:after="0"/>
              <w:rPr>
                <w:rFonts w:ascii="Arial" w:cs="Arial" w:eastAsia="Arial" w:hAnsi="Arial"/>
                <w:sz w:val="18"/>
                <w:szCs w:val="18"/>
                <w:color w:val="auto"/>
                <w:w w:val="99"/>
              </w:rPr>
            </w:pPr>
            <w:r>
              <w:rPr>
                <w:rFonts w:ascii="Arial" w:cs="Arial" w:eastAsia="Arial" w:hAnsi="Arial"/>
                <w:sz w:val="18"/>
                <w:szCs w:val="18"/>
                <w:color w:val="auto"/>
                <w:w w:val="99"/>
              </w:rPr>
              <w:t xml:space="preserve">Reference is made to </w:t>
            </w:r>
            <w:hyperlink r:id="rId225">
              <w:r>
                <w:rPr>
                  <w:rFonts w:ascii="Arial" w:cs="Arial" w:eastAsia="Arial" w:hAnsi="Arial"/>
                  <w:sz w:val="18"/>
                  <w:szCs w:val="18"/>
                  <w:color w:val="0000EE"/>
                  <w:w w:val="99"/>
                </w:rPr>
                <w:t>Exhibit 3.1</w:t>
              </w:r>
              <w:r>
                <w:rPr>
                  <w:rFonts w:ascii="Arial" w:cs="Arial" w:eastAsia="Arial" w:hAnsi="Arial"/>
                  <w:sz w:val="18"/>
                  <w:szCs w:val="18"/>
                  <w:color w:val="auto"/>
                  <w:w w:val="99"/>
                </w:rPr>
                <w:t xml:space="preserve"> </w:t>
              </w:r>
            </w:hyperlink>
            <w:r>
              <w:rPr>
                <w:rFonts w:ascii="Arial" w:cs="Arial" w:eastAsia="Arial" w:hAnsi="Arial"/>
                <w:sz w:val="18"/>
                <w:szCs w:val="18"/>
                <w:color w:val="auto"/>
                <w:w w:val="99"/>
              </w:rPr>
              <w:t xml:space="preserve">and </w:t>
            </w:r>
            <w:hyperlink r:id="rId226">
              <w:r>
                <w:rPr>
                  <w:rFonts w:ascii="Arial" w:cs="Arial" w:eastAsia="Arial" w:hAnsi="Arial"/>
                  <w:sz w:val="18"/>
                  <w:szCs w:val="18"/>
                  <w:color w:val="0000EE"/>
                  <w:w w:val="99"/>
                </w:rPr>
                <w:t>3.2</w:t>
              </w:r>
            </w:hyperlink>
            <w:r>
              <w:rPr>
                <w:rFonts w:ascii="Arial" w:cs="Arial" w:eastAsia="Arial" w:hAnsi="Arial"/>
                <w:sz w:val="18"/>
                <w:szCs w:val="18"/>
                <w:color w:val="auto"/>
                <w:w w:val="99"/>
              </w:rPr>
              <w:t>.</w:t>
            </w:r>
          </w:p>
        </w:tc>
        <w:tc>
          <w:tcPr>
            <w:tcW w:w="3740" w:type="dxa"/>
            <w:vAlign w:val="bottom"/>
            <w:gridSpan w:val="7"/>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40" w:type="dxa"/>
            <w:vAlign w:val="bottom"/>
            <w:tcBorders>
              <w:bottom w:val="single" w:sz="8" w:color="0000EE"/>
            </w:tcBorders>
            <w:gridSpan w:val="16"/>
          </w:tcPr>
          <w:p>
            <w:pPr>
              <w:spacing w:after="0"/>
              <w:rPr>
                <w:rFonts w:ascii="Arial" w:cs="Arial" w:eastAsia="Arial" w:hAnsi="Arial"/>
                <w:sz w:val="18"/>
                <w:szCs w:val="18"/>
                <w:color w:val="0000EE"/>
              </w:rPr>
            </w:pPr>
            <w:hyperlink r:id="rId227">
              <w:r>
                <w:rPr>
                  <w:rFonts w:ascii="Arial" w:cs="Arial" w:eastAsia="Arial" w:hAnsi="Arial"/>
                  <w:sz w:val="18"/>
                  <w:szCs w:val="18"/>
                  <w:color w:val="0000EE"/>
                </w:rPr>
                <w:t>Form of Common Stock Certificate of the registrant (incorporated by reference to Exhibit</w:t>
              </w:r>
            </w:hyperlink>
          </w:p>
        </w:tc>
        <w:tc>
          <w:tcPr>
            <w:tcW w:w="1740" w:type="dxa"/>
            <w:vAlign w:val="bottom"/>
            <w:tcBorders>
              <w:bottom w:val="single" w:sz="8" w:color="0000EE"/>
            </w:tcBorders>
          </w:tcPr>
          <w:p>
            <w:pPr>
              <w:ind w:left="60"/>
              <w:spacing w:after="0"/>
              <w:rPr>
                <w:rFonts w:ascii="Arial" w:cs="Arial" w:eastAsia="Arial" w:hAnsi="Arial"/>
                <w:sz w:val="18"/>
                <w:szCs w:val="18"/>
                <w:color w:val="0000EE"/>
                <w:w w:val="98"/>
              </w:rPr>
            </w:pPr>
            <w:hyperlink r:id="rId227">
              <w:r>
                <w:rPr>
                  <w:rFonts w:ascii="Arial" w:cs="Arial" w:eastAsia="Arial" w:hAnsi="Arial"/>
                  <w:sz w:val="18"/>
                  <w:szCs w:val="18"/>
                  <w:color w:val="0000EE"/>
                  <w:w w:val="98"/>
                </w:rPr>
                <w:t>4.1 to the registrant’s</w:t>
              </w:r>
            </w:hyperlink>
          </w:p>
        </w:tc>
        <w:tc>
          <w:tcPr>
            <w:tcW w:w="8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227">
              <w:r>
                <w:rPr>
                  <w:rFonts w:ascii="Arial" w:cs="Arial" w:eastAsia="Arial" w:hAnsi="Arial"/>
                  <w:sz w:val="18"/>
                  <w:szCs w:val="18"/>
                  <w:color w:val="0000EE"/>
                  <w:w w:val="99"/>
                </w:rPr>
                <w:t>Registration Statement on Form S-1 (File No. 333-250009), as amended, filed with the SEC on November 30, 2020).</w:t>
              </w:r>
            </w:hyperlink>
          </w:p>
        </w:tc>
        <w:tc>
          <w:tcPr>
            <w:tcW w:w="3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4.3</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40" w:type="dxa"/>
            <w:vAlign w:val="bottom"/>
            <w:tcBorders>
              <w:bottom w:val="single" w:sz="8" w:color="0000EE"/>
            </w:tcBorders>
            <w:gridSpan w:val="25"/>
          </w:tcPr>
          <w:p>
            <w:pPr>
              <w:spacing w:after="0"/>
              <w:rPr>
                <w:rFonts w:ascii="Arial" w:cs="Arial" w:eastAsia="Arial" w:hAnsi="Arial"/>
                <w:sz w:val="18"/>
                <w:szCs w:val="18"/>
                <w:color w:val="0000EE"/>
                <w:w w:val="99"/>
              </w:rPr>
            </w:pPr>
            <w:hyperlink r:id="rId228">
              <w:r>
                <w:rPr>
                  <w:rFonts w:ascii="Arial" w:cs="Arial" w:eastAsia="Arial" w:hAnsi="Arial"/>
                  <w:sz w:val="18"/>
                  <w:szCs w:val="18"/>
                  <w:color w:val="0000EE"/>
                  <w:w w:val="99"/>
                </w:rPr>
                <w:t>Amended and Restated Investors’ Rights Agreement, by and between the registrant and certain of its stockholders, dated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60" w:type="dxa"/>
            <w:vAlign w:val="bottom"/>
            <w:gridSpan w:val="26"/>
          </w:tcPr>
          <w:p>
            <w:pPr>
              <w:spacing w:after="0" w:line="182" w:lineRule="exact"/>
              <w:rPr>
                <w:rFonts w:ascii="Arial" w:cs="Arial" w:eastAsia="Arial" w:hAnsi="Arial"/>
                <w:sz w:val="18"/>
                <w:szCs w:val="18"/>
                <w:color w:val="0000EE"/>
                <w:w w:val="99"/>
              </w:rPr>
            </w:pPr>
            <w:hyperlink r:id="rId228">
              <w:r>
                <w:rPr>
                  <w:rFonts w:ascii="Arial" w:cs="Arial" w:eastAsia="Arial" w:hAnsi="Arial"/>
                  <w:sz w:val="18"/>
                  <w:szCs w:val="18"/>
                  <w:color w:val="0000EE"/>
                  <w:w w:val="99"/>
                </w:rPr>
                <w:t>September 22, 2020 (incorporated by reference to Exhibit 4.2 to the registrant’s Registration Statement on Form S-1 (File</w:t>
              </w:r>
            </w:hyperlink>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228">
              <w:r>
                <w:rPr>
                  <w:rFonts w:ascii="Arial" w:cs="Arial" w:eastAsia="Arial" w:hAnsi="Arial"/>
                  <w:sz w:val="18"/>
                  <w:szCs w:val="18"/>
                  <w:color w:val="0000EE"/>
                </w:rPr>
                <w:t>No. 333-250009), as amended, filed with the SEC on November 10, 2020).</w:t>
              </w:r>
            </w:hyperlink>
          </w:p>
        </w:tc>
        <w:tc>
          <w:tcPr>
            <w:tcW w:w="174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4.4</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gridSpan w:val="26"/>
          </w:tcPr>
          <w:p>
            <w:pPr>
              <w:spacing w:after="0"/>
              <w:rPr>
                <w:rFonts w:ascii="Arial" w:cs="Arial" w:eastAsia="Arial" w:hAnsi="Arial"/>
                <w:sz w:val="18"/>
                <w:szCs w:val="18"/>
                <w:color w:val="0000EE"/>
              </w:rPr>
            </w:pPr>
            <w:hyperlink r:id="rId229">
              <w:r>
                <w:rPr>
                  <w:rFonts w:ascii="Arial" w:cs="Arial" w:eastAsia="Arial" w:hAnsi="Arial"/>
                  <w:sz w:val="18"/>
                  <w:szCs w:val="18"/>
                  <w:color w:val="0000EE"/>
                </w:rPr>
                <w:t>Warrant to purchase stock issued to Silicon Valley Bank, dated November 21, 2016 (incorporated by reference to Exhibit</w:t>
              </w:r>
            </w:hyperlink>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229">
              <w:r>
                <w:rPr>
                  <w:rFonts w:ascii="Arial" w:cs="Arial" w:eastAsia="Arial" w:hAnsi="Arial"/>
                  <w:sz w:val="18"/>
                  <w:szCs w:val="18"/>
                  <w:color w:val="0000EE"/>
                </w:rPr>
                <w:t>4.</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to the registrant’s Registration Statement on Form S-1 (File No. 333-250009), as amended, filed with the SEC on</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229">
              <w:r>
                <w:rPr>
                  <w:rFonts w:ascii="Arial" w:cs="Arial" w:eastAsia="Arial" w:hAnsi="Arial"/>
                  <w:sz w:val="18"/>
                  <w:szCs w:val="18"/>
                  <w:color w:val="0000EE"/>
                </w:rPr>
                <w:t>November 10, 2020).</w:t>
              </w:r>
            </w:hyperlink>
          </w:p>
        </w:tc>
        <w:tc>
          <w:tcPr>
            <w:tcW w:w="174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62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gridSpan w:val="26"/>
          </w:tcPr>
          <w:p>
            <w:pPr>
              <w:spacing w:after="0"/>
              <w:rPr>
                <w:rFonts w:ascii="Arial" w:cs="Arial" w:eastAsia="Arial" w:hAnsi="Arial"/>
                <w:sz w:val="18"/>
                <w:szCs w:val="18"/>
                <w:color w:val="0000EE"/>
              </w:rPr>
            </w:pPr>
            <w:hyperlink r:id="rId230">
              <w:r>
                <w:rPr>
                  <w:rFonts w:ascii="Arial" w:cs="Arial" w:eastAsia="Arial" w:hAnsi="Arial"/>
                  <w:sz w:val="18"/>
                  <w:szCs w:val="18"/>
                  <w:color w:val="0000EE"/>
                </w:rPr>
                <w:t>Warrant to purchase stock issued to Silicon Valley Bank, dated December 22, 2017 (incorporated by reference to Exhibit</w:t>
              </w:r>
            </w:hyperlink>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230">
              <w:r>
                <w:rPr>
                  <w:rFonts w:ascii="Arial" w:cs="Arial" w:eastAsia="Arial" w:hAnsi="Arial"/>
                  <w:sz w:val="18"/>
                  <w:szCs w:val="18"/>
                  <w:color w:val="0000EE"/>
                </w:rPr>
                <w:t>4.</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to the registrant’s Registration Statement on Form S-1 (File No. 333-250009), as amended, filed with the SEC on</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230">
              <w:r>
                <w:rPr>
                  <w:rFonts w:ascii="Arial" w:cs="Arial" w:eastAsia="Arial" w:hAnsi="Arial"/>
                  <w:sz w:val="18"/>
                  <w:szCs w:val="18"/>
                  <w:color w:val="0000EE"/>
                </w:rPr>
                <w:t>November 10, 2020).</w:t>
              </w:r>
            </w:hyperlink>
          </w:p>
        </w:tc>
        <w:tc>
          <w:tcPr>
            <w:tcW w:w="174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40" w:type="dxa"/>
            <w:vAlign w:val="bottom"/>
          </w:tcPr>
          <w:p>
            <w:pPr>
              <w:spacing w:after="0"/>
              <w:rPr>
                <w:sz w:val="20"/>
                <w:szCs w:val="20"/>
                <w:color w:val="auto"/>
              </w:rPr>
            </w:pPr>
            <w:r>
              <w:rPr>
                <w:rFonts w:ascii="Arial" w:cs="Arial" w:eastAsia="Arial" w:hAnsi="Arial"/>
                <w:sz w:val="18"/>
                <w:szCs w:val="18"/>
                <w:color w:val="auto"/>
              </w:rPr>
              <w:t>4.6</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2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175">
              <w:r>
                <w:rPr>
                  <w:rFonts w:ascii="Arial" w:cs="Arial" w:eastAsia="Arial" w:hAnsi="Arial"/>
                  <w:sz w:val="18"/>
                  <w:szCs w:val="18"/>
                  <w:color w:val="0000EE"/>
                  <w:w w:val="99"/>
                </w:rPr>
                <w:t>Description of Registrant’s Common Stock.</w:t>
              </w:r>
            </w:hyperlink>
          </w:p>
        </w:tc>
        <w:tc>
          <w:tcPr>
            <w:tcW w:w="3620" w:type="dxa"/>
            <w:vAlign w:val="bottom"/>
            <w:gridSpan w:val="6"/>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00" w:type="dxa"/>
            <w:vAlign w:val="bottom"/>
            <w:gridSpan w:val="12"/>
          </w:tcPr>
          <w:p>
            <w:pPr>
              <w:jc w:val="right"/>
              <w:ind w:right="28"/>
              <w:spacing w:after="0"/>
              <w:rPr>
                <w:sz w:val="20"/>
                <w:szCs w:val="20"/>
                <w:color w:val="auto"/>
              </w:rPr>
            </w:pPr>
            <w:r>
              <w:rPr>
                <w:rFonts w:ascii="Arial" w:cs="Arial" w:eastAsia="Arial" w:hAnsi="Arial"/>
                <w:sz w:val="18"/>
                <w:szCs w:val="18"/>
                <w:color w:val="auto"/>
              </w:rPr>
              <w:t>169</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540" w:type="dxa"/>
            <w:vAlign w:val="bottom"/>
            <w:gridSpan w:val="22"/>
          </w:tcPr>
          <w:p>
            <w:pPr>
              <w:spacing w:after="0"/>
              <w:rPr>
                <w:sz w:val="15"/>
                <w:szCs w:val="15"/>
                <w:color w:val="auto"/>
              </w:rPr>
            </w:pP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9520" w:type="dxa"/>
            <w:vAlign w:val="bottom"/>
            <w:tcBorders>
              <w:bottom w:val="single" w:sz="8" w:color="0000EE"/>
            </w:tcBorders>
            <w:gridSpan w:val="16"/>
          </w:tcPr>
          <w:p>
            <w:pPr>
              <w:spacing w:after="0"/>
              <w:rPr>
                <w:rFonts w:ascii="Arial" w:cs="Arial" w:eastAsia="Arial" w:hAnsi="Arial"/>
                <w:sz w:val="18"/>
                <w:szCs w:val="18"/>
                <w:color w:val="0000EE"/>
                <w:w w:val="99"/>
              </w:rPr>
            </w:pPr>
            <w:hyperlink r:id="rId232">
              <w:r>
                <w:rPr>
                  <w:rFonts w:ascii="Arial" w:cs="Arial" w:eastAsia="Arial" w:hAnsi="Arial"/>
                  <w:sz w:val="18"/>
                  <w:szCs w:val="18"/>
                  <w:color w:val="0000EE"/>
                  <w:w w:val="99"/>
                </w:rPr>
                <w:t>Form of Indemnity Agreement, by and between the registrant and its directors and officers (incorporated by reference to</w:t>
              </w:r>
            </w:hyperlink>
          </w:p>
        </w:tc>
        <w:tc>
          <w:tcPr>
            <w:tcW w:w="380" w:type="dxa"/>
            <w:vAlign w:val="bottom"/>
            <w:gridSpan w:val="13"/>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72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232">
              <w:r>
                <w:rPr>
                  <w:rFonts w:ascii="Arial" w:cs="Arial" w:eastAsia="Arial" w:hAnsi="Arial"/>
                  <w:sz w:val="18"/>
                  <w:szCs w:val="18"/>
                  <w:color w:val="0000EE"/>
                  <w:w w:val="99"/>
                </w:rPr>
                <w:t>Exhibit 10.1 to the registrant’s Registration Statement on Form S-1 (File No. 333-250009), as amended, filed with the SEC</w:t>
              </w:r>
            </w:hyperlink>
          </w:p>
        </w:tc>
        <w:tc>
          <w:tcPr>
            <w:tcW w:w="180" w:type="dxa"/>
            <w:vAlign w:val="bottom"/>
            <w:gridSpan w:val="8"/>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29"/>
          </w:tcPr>
          <w:p>
            <w:pPr>
              <w:spacing w:after="0" w:line="182" w:lineRule="exact"/>
              <w:rPr>
                <w:rFonts w:ascii="Arial" w:cs="Arial" w:eastAsia="Arial" w:hAnsi="Arial"/>
                <w:sz w:val="18"/>
                <w:szCs w:val="18"/>
                <w:color w:val="0000EE"/>
              </w:rPr>
            </w:pPr>
            <w:hyperlink r:id="rId232">
              <w:r>
                <w:rPr>
                  <w:rFonts w:ascii="Arial" w:cs="Arial" w:eastAsia="Arial" w:hAnsi="Arial"/>
                  <w:sz w:val="18"/>
                  <w:szCs w:val="18"/>
                  <w:color w:val="0000EE"/>
                </w:rPr>
                <w:t>on November 10, 2020).</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4"/>
                <w:szCs w:val="24"/>
                <w:color w:val="auto"/>
              </w:rPr>
            </w:pPr>
          </w:p>
        </w:tc>
        <w:tc>
          <w:tcPr>
            <w:tcW w:w="9880" w:type="dxa"/>
            <w:vAlign w:val="bottom"/>
            <w:tcBorders>
              <w:bottom w:val="single" w:sz="8" w:color="0000EE"/>
            </w:tcBorders>
            <w:gridSpan w:val="28"/>
          </w:tcPr>
          <w:p>
            <w:pPr>
              <w:spacing w:after="0"/>
              <w:rPr>
                <w:rFonts w:ascii="Arial" w:cs="Arial" w:eastAsia="Arial" w:hAnsi="Arial"/>
                <w:sz w:val="18"/>
                <w:szCs w:val="18"/>
                <w:color w:val="0000EE"/>
              </w:rPr>
            </w:pPr>
            <w:hyperlink r:id="rId233">
              <w:r>
                <w:rPr>
                  <w:rFonts w:ascii="Arial" w:cs="Arial" w:eastAsia="Arial" w:hAnsi="Arial"/>
                  <w:sz w:val="18"/>
                  <w:szCs w:val="18"/>
                  <w:color w:val="0000EE"/>
                </w:rPr>
                <w:t>Silverback Therapeutics, Inc. 2016 Equity Incentive Plan, as amended, and Forms of Option Agreement, Notice of Exercise,</w:t>
              </w:r>
            </w:hyperlink>
          </w:p>
        </w:tc>
        <w:tc>
          <w:tcPr>
            <w:tcW w:w="20" w:type="dxa"/>
            <w:vAlign w:val="bottom"/>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6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r:id="rId233">
              <w:r>
                <w:rPr>
                  <w:rFonts w:ascii="Arial" w:cs="Arial" w:eastAsia="Arial" w:hAnsi="Arial"/>
                  <w:sz w:val="18"/>
                  <w:szCs w:val="18"/>
                  <w:color w:val="0000EE"/>
                  <w:w w:val="99"/>
                </w:rPr>
                <w:t>Notice of Early Exercise, Restricted Stock Grant Notice and Restricted Stock Award Agreement thereunder (incorporated by</w:t>
              </w:r>
            </w:hyperlink>
          </w:p>
        </w:tc>
        <w:tc>
          <w:tcPr>
            <w:tcW w:w="40" w:type="dxa"/>
            <w:vAlign w:val="bottom"/>
            <w:gridSpan w:val="2"/>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4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233">
              <w:r>
                <w:rPr>
                  <w:rFonts w:ascii="Arial" w:cs="Arial" w:eastAsia="Arial" w:hAnsi="Arial"/>
                  <w:sz w:val="18"/>
                  <w:szCs w:val="18"/>
                  <w:color w:val="0000EE"/>
                  <w:w w:val="99"/>
                </w:rPr>
                <w:t>reference to Exhibit 10.2 to the registrant’s Registration Statement on Form S-1 (File No. 333-250009), as amended, filed</w:t>
              </w:r>
            </w:hyperlink>
          </w:p>
        </w:tc>
        <w:tc>
          <w:tcPr>
            <w:tcW w:w="260" w:type="dxa"/>
            <w:vAlign w:val="bottom"/>
            <w:gridSpan w:val="11"/>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233">
              <w:r>
                <w:rPr>
                  <w:rFonts w:ascii="Arial" w:cs="Arial" w:eastAsia="Arial" w:hAnsi="Arial"/>
                  <w:sz w:val="18"/>
                  <w:szCs w:val="18"/>
                  <w:color w:val="0000EE"/>
                  <w:w w:val="99"/>
                </w:rPr>
                <w:t>with the SEC on November 10, 2020).</w:t>
              </w:r>
            </w:hyperlink>
          </w:p>
        </w:tc>
        <w:tc>
          <w:tcPr>
            <w:tcW w:w="6860" w:type="dxa"/>
            <w:vAlign w:val="bottom"/>
            <w:gridSpan w:val="25"/>
          </w:tcPr>
          <w:p>
            <w:pPr>
              <w:spacing w:after="0"/>
              <w:rPr>
                <w:sz w:val="15"/>
                <w:szCs w:val="15"/>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4"/>
                <w:szCs w:val="24"/>
                <w:color w:val="auto"/>
              </w:rPr>
            </w:pPr>
          </w:p>
        </w:tc>
        <w:tc>
          <w:tcPr>
            <w:tcW w:w="9900" w:type="dxa"/>
            <w:vAlign w:val="bottom"/>
            <w:gridSpan w:val="29"/>
          </w:tcPr>
          <w:p>
            <w:pPr>
              <w:spacing w:after="0"/>
              <w:rPr>
                <w:rFonts w:ascii="Arial" w:cs="Arial" w:eastAsia="Arial" w:hAnsi="Arial"/>
                <w:sz w:val="18"/>
                <w:szCs w:val="18"/>
                <w:color w:val="0000EE"/>
              </w:rPr>
            </w:pPr>
            <w:hyperlink r:id="rId234">
              <w:r>
                <w:rPr>
                  <w:rFonts w:ascii="Arial" w:cs="Arial" w:eastAsia="Arial" w:hAnsi="Arial"/>
                  <w:sz w:val="18"/>
                  <w:szCs w:val="18"/>
                  <w:color w:val="0000EE"/>
                </w:rPr>
                <w:t>Silverback Therapeutics, Inc. 2020 Equity Incentive Plan, and Forms of Option Grant Notice, Option Agreement and Notice</w:t>
              </w:r>
            </w:hyperlink>
          </w:p>
        </w:tc>
      </w:tr>
      <w:tr>
        <w:trPr>
          <w:trHeight w:val="182"/>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76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234">
              <w:r>
                <w:rPr>
                  <w:rFonts w:ascii="Arial" w:cs="Arial" w:eastAsia="Arial" w:hAnsi="Arial"/>
                  <w:sz w:val="18"/>
                  <w:szCs w:val="18"/>
                  <w:color w:val="0000EE"/>
                </w:rPr>
                <w:t>of Exercise thereunder (incorporated by reference to Exhibit 10.3 to the registrant’s Registration Statement on Form S-1</w:t>
              </w:r>
            </w:hyperlink>
          </w:p>
        </w:tc>
        <w:tc>
          <w:tcPr>
            <w:tcW w:w="140" w:type="dxa"/>
            <w:vAlign w:val="bottom"/>
            <w:gridSpan w:val="6"/>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3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234">
              <w:r>
                <w:rPr>
                  <w:rFonts w:ascii="Arial" w:cs="Arial" w:eastAsia="Arial" w:hAnsi="Arial"/>
                  <w:sz w:val="18"/>
                  <w:szCs w:val="18"/>
                  <w:color w:val="0000EE"/>
                  <w:w w:val="99"/>
                </w:rPr>
                <w:t>(File No. 333-250009), as amended, filed with the SEC on November 30, 2020).</w:t>
              </w:r>
            </w:hyperlink>
          </w:p>
        </w:tc>
        <w:tc>
          <w:tcPr>
            <w:tcW w:w="3160" w:type="dxa"/>
            <w:vAlign w:val="bottom"/>
            <w:tcBorders>
              <w:top w:val="single" w:sz="8" w:color="0000EE"/>
            </w:tcBorders>
            <w:gridSpan w:val="7"/>
          </w:tcPr>
          <w:p>
            <w:pPr>
              <w:spacing w:after="0"/>
              <w:rPr>
                <w:sz w:val="15"/>
                <w:szCs w:val="15"/>
                <w:color w:val="auto"/>
              </w:rPr>
            </w:pPr>
          </w:p>
        </w:tc>
        <w:tc>
          <w:tcPr>
            <w:tcW w:w="380" w:type="dxa"/>
            <w:vAlign w:val="bottom"/>
            <w:gridSpan w:val="13"/>
          </w:tcPr>
          <w:p>
            <w:pPr>
              <w:spacing w:after="0"/>
              <w:rPr>
                <w:sz w:val="15"/>
                <w:szCs w:val="15"/>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4"/>
                <w:szCs w:val="24"/>
                <w:color w:val="auto"/>
              </w:rPr>
            </w:pPr>
          </w:p>
        </w:tc>
        <w:tc>
          <w:tcPr>
            <w:tcW w:w="9200" w:type="dxa"/>
            <w:vAlign w:val="bottom"/>
            <w:tcBorders>
              <w:bottom w:val="single" w:sz="8" w:color="0000EE"/>
            </w:tcBorders>
            <w:gridSpan w:val="13"/>
          </w:tcPr>
          <w:p>
            <w:pPr>
              <w:spacing w:after="0"/>
              <w:rPr>
                <w:rFonts w:ascii="Arial" w:cs="Arial" w:eastAsia="Arial" w:hAnsi="Arial"/>
                <w:sz w:val="18"/>
                <w:szCs w:val="18"/>
                <w:color w:val="0000EE"/>
                <w:w w:val="99"/>
              </w:rPr>
            </w:pPr>
            <w:hyperlink r:id="rId235">
              <w:r>
                <w:rPr>
                  <w:rFonts w:ascii="Arial" w:cs="Arial" w:eastAsia="Arial" w:hAnsi="Arial"/>
                  <w:sz w:val="18"/>
                  <w:szCs w:val="18"/>
                  <w:color w:val="0000EE"/>
                  <w:w w:val="99"/>
                </w:rPr>
                <w:t>Silverback Therapeutics, Inc. 2020 Employee Stock Purchase Plan (incorporated by reference to Exhibit 10.4 to the</w:t>
              </w:r>
            </w:hyperlink>
          </w:p>
        </w:tc>
        <w:tc>
          <w:tcPr>
            <w:tcW w:w="700" w:type="dxa"/>
            <w:vAlign w:val="bottom"/>
            <w:gridSpan w:val="16"/>
          </w:tcPr>
          <w:p>
            <w:pPr>
              <w:spacing w:after="0"/>
              <w:rPr>
                <w:sz w:val="24"/>
                <w:szCs w:val="24"/>
                <w:color w:val="auto"/>
              </w:rPr>
            </w:pPr>
          </w:p>
        </w:tc>
      </w:tr>
      <w:tr>
        <w:trPr>
          <w:trHeight w:val="182"/>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29"/>
          </w:tcPr>
          <w:p>
            <w:pPr>
              <w:spacing w:after="0" w:line="182" w:lineRule="exact"/>
              <w:rPr>
                <w:rFonts w:ascii="Arial" w:cs="Arial" w:eastAsia="Arial" w:hAnsi="Arial"/>
                <w:sz w:val="18"/>
                <w:szCs w:val="18"/>
                <w:color w:val="0000EE"/>
              </w:rPr>
            </w:pPr>
            <w:hyperlink r:id="rId235">
              <w:r>
                <w:rPr>
                  <w:rFonts w:ascii="Arial" w:cs="Arial" w:eastAsia="Arial" w:hAnsi="Arial"/>
                  <w:sz w:val="18"/>
                  <w:szCs w:val="18"/>
                  <w:color w:val="0000EE"/>
                </w:rPr>
                <w:t>registrant’s Registration Statement on Form S-1 (File No. 333-250009), as amended, filed with the SEC on November 30,</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235">
              <w:r>
                <w:rPr>
                  <w:rFonts w:ascii="Arial" w:cs="Arial" w:eastAsia="Arial" w:hAnsi="Arial"/>
                  <w:sz w:val="18"/>
                  <w:szCs w:val="18"/>
                  <w:color w:val="0000EE"/>
                  <w:w w:val="97"/>
                </w:rPr>
                <w:t>2020).</w:t>
              </w:r>
            </w:hyperlink>
          </w:p>
        </w:tc>
        <w:tc>
          <w:tcPr>
            <w:tcW w:w="14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12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2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24"/>
                <w:szCs w:val="24"/>
                <w:color w:val="auto"/>
              </w:rPr>
            </w:pPr>
          </w:p>
        </w:tc>
        <w:tc>
          <w:tcPr>
            <w:tcW w:w="9900" w:type="dxa"/>
            <w:vAlign w:val="bottom"/>
            <w:gridSpan w:val="29"/>
          </w:tcPr>
          <w:p>
            <w:pPr>
              <w:spacing w:after="0"/>
              <w:rPr>
                <w:rFonts w:ascii="Arial" w:cs="Arial" w:eastAsia="Arial" w:hAnsi="Arial"/>
                <w:sz w:val="18"/>
                <w:szCs w:val="18"/>
                <w:color w:val="0000EE"/>
              </w:rPr>
            </w:pPr>
            <w:hyperlink r:id="rId236">
              <w:r>
                <w:rPr>
                  <w:rFonts w:ascii="Arial" w:cs="Arial" w:eastAsia="Arial" w:hAnsi="Arial"/>
                  <w:sz w:val="18"/>
                  <w:szCs w:val="18"/>
                  <w:color w:val="0000EE"/>
                </w:rPr>
                <w:t>Letter Agreement, by and between the registrant and Laura Shawver, Ph.D., dated March 6, 2020, as amended</w:t>
              </w:r>
            </w:hyperlink>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20" w:type="dxa"/>
            <w:vAlign w:val="bottom"/>
            <w:tcBorders>
              <w:bottom w:val="single" w:sz="8" w:color="0000EE"/>
            </w:tcBorders>
            <w:gridSpan w:val="26"/>
          </w:tcPr>
          <w:p>
            <w:pPr>
              <w:spacing w:after="0" w:line="182" w:lineRule="exact"/>
              <w:rPr>
                <w:rFonts w:ascii="Arial" w:cs="Arial" w:eastAsia="Arial" w:hAnsi="Arial"/>
                <w:sz w:val="18"/>
                <w:szCs w:val="18"/>
                <w:color w:val="0000EE"/>
              </w:rPr>
            </w:pPr>
            <w:hyperlink r:id="rId236">
              <w:r>
                <w:rPr>
                  <w:rFonts w:ascii="Arial" w:cs="Arial" w:eastAsia="Arial" w:hAnsi="Arial"/>
                  <w:sz w:val="18"/>
                  <w:szCs w:val="18"/>
                  <w:color w:val="0000EE"/>
                </w:rPr>
                <w:t>(incorporated by reference to Exhibit 10.5 to the registrant’s Registration Statement on Form S-1 (File No. 333-250009), as</w:t>
              </w:r>
            </w:hyperlink>
          </w:p>
        </w:tc>
        <w:tc>
          <w:tcPr>
            <w:tcW w:w="80" w:type="dxa"/>
            <w:vAlign w:val="bottom"/>
            <w:gridSpan w:val="3"/>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29"/>
          </w:tcPr>
          <w:p>
            <w:pPr>
              <w:spacing w:after="0" w:line="182" w:lineRule="exact"/>
              <w:rPr>
                <w:rFonts w:ascii="Arial" w:cs="Arial" w:eastAsia="Arial" w:hAnsi="Arial"/>
                <w:sz w:val="18"/>
                <w:szCs w:val="18"/>
                <w:color w:val="0000EE"/>
              </w:rPr>
            </w:pPr>
            <w:hyperlink r:id="rId236">
              <w:r>
                <w:rPr>
                  <w:rFonts w:ascii="Arial" w:cs="Arial" w:eastAsia="Arial" w:hAnsi="Arial"/>
                  <w:sz w:val="18"/>
                  <w:szCs w:val="18"/>
                  <w:color w:val="0000EE"/>
                </w:rPr>
                <w:t>amended, filed with the SEC on November 10, 2020).</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480" w:type="dxa"/>
            <w:vAlign w:val="bottom"/>
          </w:tcPr>
          <w:p>
            <w:pPr>
              <w:spacing w:after="0"/>
              <w:rPr>
                <w:sz w:val="24"/>
                <w:szCs w:val="24"/>
                <w:color w:val="auto"/>
              </w:rPr>
            </w:pPr>
          </w:p>
        </w:tc>
        <w:tc>
          <w:tcPr>
            <w:tcW w:w="9900" w:type="dxa"/>
            <w:vAlign w:val="bottom"/>
            <w:gridSpan w:val="29"/>
          </w:tcPr>
          <w:p>
            <w:pPr>
              <w:spacing w:after="0"/>
              <w:rPr>
                <w:rFonts w:ascii="Arial" w:cs="Arial" w:eastAsia="Arial" w:hAnsi="Arial"/>
                <w:sz w:val="18"/>
                <w:szCs w:val="18"/>
                <w:color w:val="0000EE"/>
              </w:rPr>
            </w:pPr>
            <w:hyperlink r:id="rId237">
              <w:r>
                <w:rPr>
                  <w:rFonts w:ascii="Arial" w:cs="Arial" w:eastAsia="Arial" w:hAnsi="Arial"/>
                  <w:sz w:val="18"/>
                  <w:szCs w:val="18"/>
                  <w:color w:val="0000EE"/>
                </w:rPr>
                <w:t>Letter Agreement, by and between the registrant and Valerie Odegard, Ph.D., dated July 23, 2016 (incorporated by</w:t>
              </w:r>
            </w:hyperlink>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29"/>
          </w:tcPr>
          <w:p>
            <w:pPr>
              <w:spacing w:after="0" w:line="182" w:lineRule="exact"/>
              <w:rPr>
                <w:rFonts w:ascii="Arial" w:cs="Arial" w:eastAsia="Arial" w:hAnsi="Arial"/>
                <w:sz w:val="18"/>
                <w:szCs w:val="18"/>
                <w:color w:val="0000EE"/>
              </w:rPr>
            </w:pPr>
            <w:hyperlink r:id="rId237">
              <w:r>
                <w:rPr>
                  <w:rFonts w:ascii="Arial" w:cs="Arial" w:eastAsia="Arial" w:hAnsi="Arial"/>
                  <w:sz w:val="18"/>
                  <w:szCs w:val="18"/>
                  <w:color w:val="0000EE"/>
                </w:rPr>
                <w:t>reference to Exhibit 10.6 to the registrant’s Registration Statement on Form S-1 (File No. 333-250009), as amended, filed</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237">
              <w:r>
                <w:rPr>
                  <w:rFonts w:ascii="Arial" w:cs="Arial" w:eastAsia="Arial" w:hAnsi="Arial"/>
                  <w:sz w:val="18"/>
                  <w:szCs w:val="18"/>
                  <w:color w:val="0000EE"/>
                  <w:w w:val="99"/>
                </w:rPr>
                <w:t>with the SEC on November 10, 2020).</w:t>
              </w:r>
            </w:hyperlink>
          </w:p>
        </w:tc>
        <w:tc>
          <w:tcPr>
            <w:tcW w:w="6640" w:type="dxa"/>
            <w:vAlign w:val="bottom"/>
            <w:tcBorders>
              <w:top w:val="single" w:sz="8" w:color="0000EE"/>
            </w:tcBorders>
            <w:gridSpan w:val="16"/>
          </w:tcPr>
          <w:p>
            <w:pPr>
              <w:spacing w:after="0"/>
              <w:rPr>
                <w:sz w:val="15"/>
                <w:szCs w:val="15"/>
                <w:color w:val="auto"/>
              </w:rPr>
            </w:pPr>
          </w:p>
        </w:tc>
        <w:tc>
          <w:tcPr>
            <w:tcW w:w="220" w:type="dxa"/>
            <w:vAlign w:val="bottom"/>
            <w:gridSpan w:val="9"/>
          </w:tcPr>
          <w:p>
            <w:pPr>
              <w:spacing w:after="0"/>
              <w:rPr>
                <w:sz w:val="15"/>
                <w:szCs w:val="15"/>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24"/>
                <w:szCs w:val="24"/>
                <w:color w:val="auto"/>
              </w:rPr>
            </w:pPr>
          </w:p>
        </w:tc>
        <w:tc>
          <w:tcPr>
            <w:tcW w:w="9480" w:type="dxa"/>
            <w:vAlign w:val="bottom"/>
            <w:tcBorders>
              <w:bottom w:val="single" w:sz="8" w:color="0000EE"/>
            </w:tcBorders>
            <w:gridSpan w:val="15"/>
          </w:tcPr>
          <w:p>
            <w:pPr>
              <w:spacing w:after="0"/>
              <w:rPr>
                <w:rFonts w:ascii="Arial" w:cs="Arial" w:eastAsia="Arial" w:hAnsi="Arial"/>
                <w:sz w:val="18"/>
                <w:szCs w:val="18"/>
                <w:color w:val="0000EE"/>
              </w:rPr>
            </w:pPr>
            <w:hyperlink r:id="rId238">
              <w:r>
                <w:rPr>
                  <w:rFonts w:ascii="Arial" w:cs="Arial" w:eastAsia="Arial" w:hAnsi="Arial"/>
                  <w:sz w:val="18"/>
                  <w:szCs w:val="18"/>
                  <w:color w:val="0000EE"/>
                </w:rPr>
                <w:t>Letter Agreement, by and between the registrant and Naomi Hunder, M.D., dated December 22, 2018 (incorporated by</w:t>
              </w:r>
            </w:hyperlink>
          </w:p>
        </w:tc>
        <w:tc>
          <w:tcPr>
            <w:tcW w:w="420" w:type="dxa"/>
            <w:vAlign w:val="bottom"/>
            <w:gridSpan w:val="14"/>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29"/>
          </w:tcPr>
          <w:p>
            <w:pPr>
              <w:spacing w:after="0" w:line="182" w:lineRule="exact"/>
              <w:rPr>
                <w:rFonts w:ascii="Arial" w:cs="Arial" w:eastAsia="Arial" w:hAnsi="Arial"/>
                <w:sz w:val="18"/>
                <w:szCs w:val="18"/>
                <w:color w:val="0000EE"/>
              </w:rPr>
            </w:pPr>
            <w:hyperlink r:id="rId238">
              <w:r>
                <w:rPr>
                  <w:rFonts w:ascii="Arial" w:cs="Arial" w:eastAsia="Arial" w:hAnsi="Arial"/>
                  <w:sz w:val="18"/>
                  <w:szCs w:val="18"/>
                  <w:color w:val="0000EE"/>
                </w:rPr>
                <w:t>reference to Exhibit 10.7 to the registrant’s Registration Statement on Form S-1 (File No. 333-250009), as amended, filed</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238">
              <w:r>
                <w:rPr>
                  <w:rFonts w:ascii="Arial" w:cs="Arial" w:eastAsia="Arial" w:hAnsi="Arial"/>
                  <w:sz w:val="18"/>
                  <w:szCs w:val="18"/>
                  <w:color w:val="0000EE"/>
                  <w:w w:val="99"/>
                </w:rPr>
                <w:t>with the SEC on November 10, 2020).</w:t>
              </w:r>
            </w:hyperlink>
          </w:p>
        </w:tc>
        <w:tc>
          <w:tcPr>
            <w:tcW w:w="6640" w:type="dxa"/>
            <w:vAlign w:val="bottom"/>
            <w:tcBorders>
              <w:top w:val="single" w:sz="8" w:color="0000EE"/>
            </w:tcBorders>
            <w:gridSpan w:val="16"/>
          </w:tcPr>
          <w:p>
            <w:pPr>
              <w:spacing w:after="0"/>
              <w:rPr>
                <w:sz w:val="15"/>
                <w:szCs w:val="15"/>
                <w:color w:val="auto"/>
              </w:rPr>
            </w:pPr>
          </w:p>
        </w:tc>
        <w:tc>
          <w:tcPr>
            <w:tcW w:w="220" w:type="dxa"/>
            <w:vAlign w:val="bottom"/>
            <w:gridSpan w:val="9"/>
          </w:tcPr>
          <w:p>
            <w:pPr>
              <w:spacing w:after="0"/>
              <w:rPr>
                <w:sz w:val="15"/>
                <w:szCs w:val="15"/>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480" w:type="dxa"/>
            <w:vAlign w:val="bottom"/>
          </w:tcPr>
          <w:p>
            <w:pPr>
              <w:spacing w:after="0"/>
              <w:rPr>
                <w:sz w:val="24"/>
                <w:szCs w:val="24"/>
                <w:color w:val="auto"/>
              </w:rPr>
            </w:pPr>
          </w:p>
        </w:tc>
        <w:tc>
          <w:tcPr>
            <w:tcW w:w="9900" w:type="dxa"/>
            <w:vAlign w:val="bottom"/>
            <w:gridSpan w:val="29"/>
          </w:tcPr>
          <w:p>
            <w:pPr>
              <w:spacing w:after="0"/>
              <w:rPr>
                <w:rFonts w:ascii="Arial" w:cs="Arial" w:eastAsia="Arial" w:hAnsi="Arial"/>
                <w:sz w:val="18"/>
                <w:szCs w:val="18"/>
                <w:color w:val="0000EE"/>
              </w:rPr>
            </w:pPr>
            <w:hyperlink r:id="rId239">
              <w:r>
                <w:rPr>
                  <w:rFonts w:ascii="Arial" w:cs="Arial" w:eastAsia="Arial" w:hAnsi="Arial"/>
                  <w:sz w:val="18"/>
                  <w:szCs w:val="18"/>
                  <w:color w:val="0000EE"/>
                </w:rPr>
                <w:t>Letter Agreement, by and between the registrant and Jonathan Piazza, dated November 3, 2020 (incorporated by reference</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8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239">
              <w:r>
                <w:rPr>
                  <w:rFonts w:ascii="Arial" w:cs="Arial" w:eastAsia="Arial" w:hAnsi="Arial"/>
                  <w:sz w:val="18"/>
                  <w:szCs w:val="18"/>
                  <w:color w:val="0000EE"/>
                </w:rPr>
                <w:t>to Exhibit 10.8 to the registrant’s Registration Statement on Form S-1 (File No. 333-250009), as amended, filed with the</w:t>
              </w:r>
            </w:hyperlink>
          </w:p>
        </w:tc>
        <w:tc>
          <w:tcPr>
            <w:tcW w:w="20" w:type="dxa"/>
            <w:vAlign w:val="bottom"/>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5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239">
              <w:r>
                <w:rPr>
                  <w:rFonts w:ascii="Arial" w:cs="Arial" w:eastAsia="Arial" w:hAnsi="Arial"/>
                  <w:sz w:val="18"/>
                  <w:szCs w:val="18"/>
                  <w:color w:val="0000EE"/>
                </w:rPr>
                <w:t>SEC on November 10, 2020).</w:t>
              </w:r>
            </w:hyperlink>
          </w:p>
        </w:tc>
        <w:tc>
          <w:tcPr>
            <w:tcW w:w="360" w:type="dxa"/>
            <w:vAlign w:val="bottom"/>
            <w:gridSpan w:val="12"/>
          </w:tcPr>
          <w:p>
            <w:pPr>
              <w:spacing w:after="0"/>
              <w:rPr>
                <w:sz w:val="15"/>
                <w:szCs w:val="15"/>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24"/>
                <w:szCs w:val="24"/>
                <w:color w:val="auto"/>
              </w:rPr>
            </w:pPr>
          </w:p>
        </w:tc>
        <w:tc>
          <w:tcPr>
            <w:tcW w:w="9740" w:type="dxa"/>
            <w:vAlign w:val="bottom"/>
            <w:tcBorders>
              <w:bottom w:val="single" w:sz="8" w:color="0000EE"/>
            </w:tcBorders>
            <w:gridSpan w:val="22"/>
          </w:tcPr>
          <w:p>
            <w:pPr>
              <w:spacing w:after="0"/>
              <w:rPr>
                <w:rFonts w:ascii="Arial" w:cs="Arial" w:eastAsia="Arial" w:hAnsi="Arial"/>
                <w:sz w:val="18"/>
                <w:szCs w:val="18"/>
                <w:color w:val="0000EE"/>
              </w:rPr>
            </w:pPr>
            <w:hyperlink r:id="rId240">
              <w:r>
                <w:rPr>
                  <w:rFonts w:ascii="Arial" w:cs="Arial" w:eastAsia="Arial" w:hAnsi="Arial"/>
                  <w:sz w:val="18"/>
                  <w:szCs w:val="18"/>
                  <w:color w:val="0000EE"/>
                </w:rPr>
                <w:t>Lease, by and between the registrant and BMR-500 Fairview Avenue LLC, dated June 8, 2016 (incorporated by reference</w:t>
              </w:r>
            </w:hyperlink>
          </w:p>
        </w:tc>
        <w:tc>
          <w:tcPr>
            <w:tcW w:w="160" w:type="dxa"/>
            <w:vAlign w:val="bottom"/>
            <w:gridSpan w:val="7"/>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29"/>
          </w:tcPr>
          <w:p>
            <w:pPr>
              <w:spacing w:after="0" w:line="182" w:lineRule="exact"/>
              <w:rPr>
                <w:rFonts w:ascii="Arial" w:cs="Arial" w:eastAsia="Arial" w:hAnsi="Arial"/>
                <w:sz w:val="18"/>
                <w:szCs w:val="18"/>
                <w:color w:val="0000EE"/>
              </w:rPr>
            </w:pPr>
            <w:hyperlink r:id="rId240">
              <w:r>
                <w:rPr>
                  <w:rFonts w:ascii="Arial" w:cs="Arial" w:eastAsia="Arial" w:hAnsi="Arial"/>
                  <w:sz w:val="18"/>
                  <w:szCs w:val="18"/>
                  <w:color w:val="0000EE"/>
                </w:rPr>
                <w:t>to Exhibit 10.9 to the registrant’s Registration Statement on Form S-1 (File No. 333-250009), as amended, filed with the</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5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240">
              <w:r>
                <w:rPr>
                  <w:rFonts w:ascii="Arial" w:cs="Arial" w:eastAsia="Arial" w:hAnsi="Arial"/>
                  <w:sz w:val="18"/>
                  <w:szCs w:val="18"/>
                  <w:color w:val="0000EE"/>
                </w:rPr>
                <w:t>SEC on November 10, 2020).</w:t>
              </w:r>
            </w:hyperlink>
          </w:p>
        </w:tc>
        <w:tc>
          <w:tcPr>
            <w:tcW w:w="360" w:type="dxa"/>
            <w:vAlign w:val="bottom"/>
            <w:gridSpan w:val="12"/>
          </w:tcPr>
          <w:p>
            <w:pPr>
              <w:spacing w:after="0"/>
              <w:rPr>
                <w:sz w:val="15"/>
                <w:szCs w:val="15"/>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w w:val="96"/>
              </w:rPr>
              <w:t>10.10*¥</w:t>
            </w:r>
          </w:p>
        </w:tc>
        <w:tc>
          <w:tcPr>
            <w:tcW w:w="480" w:type="dxa"/>
            <w:vAlign w:val="bottom"/>
          </w:tcPr>
          <w:p>
            <w:pPr>
              <w:spacing w:after="0"/>
              <w:rPr>
                <w:sz w:val="24"/>
                <w:szCs w:val="24"/>
                <w:color w:val="auto"/>
              </w:rPr>
            </w:pPr>
          </w:p>
        </w:tc>
        <w:tc>
          <w:tcPr>
            <w:tcW w:w="9800" w:type="dxa"/>
            <w:vAlign w:val="bottom"/>
            <w:tcBorders>
              <w:bottom w:val="single" w:sz="8" w:color="0000EE"/>
            </w:tcBorders>
            <w:gridSpan w:val="25"/>
          </w:tcPr>
          <w:p>
            <w:pPr>
              <w:spacing w:after="0"/>
              <w:rPr>
                <w:rFonts w:ascii="Arial" w:cs="Arial" w:eastAsia="Arial" w:hAnsi="Arial"/>
                <w:sz w:val="18"/>
                <w:szCs w:val="18"/>
                <w:color w:val="0000EE"/>
              </w:rPr>
            </w:pPr>
            <w:hyperlink r:id="rId241">
              <w:r>
                <w:rPr>
                  <w:rFonts w:ascii="Arial" w:cs="Arial" w:eastAsia="Arial" w:hAnsi="Arial"/>
                  <w:sz w:val="18"/>
                  <w:szCs w:val="18"/>
                  <w:color w:val="0000EE"/>
                </w:rPr>
                <w:t>Master Laboratory Services Agreement, by and between the registrant and Q Squared Solutions LLC, dated May 25, 2020</w:t>
              </w:r>
            </w:hyperlink>
          </w:p>
        </w:tc>
        <w:tc>
          <w:tcPr>
            <w:tcW w:w="100" w:type="dxa"/>
            <w:vAlign w:val="bottom"/>
            <w:gridSpan w:val="4"/>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tcBorders>
              <w:bottom w:val="single" w:sz="8" w:color="0000EE"/>
            </w:tcBorders>
            <w:gridSpan w:val="29"/>
          </w:tcPr>
          <w:p>
            <w:pPr>
              <w:spacing w:after="0" w:line="182" w:lineRule="exact"/>
              <w:rPr>
                <w:rFonts w:ascii="Arial" w:cs="Arial" w:eastAsia="Arial" w:hAnsi="Arial"/>
                <w:sz w:val="18"/>
                <w:szCs w:val="18"/>
                <w:color w:val="0000EE"/>
              </w:rPr>
            </w:pPr>
            <w:hyperlink r:id="rId241">
              <w:r>
                <w:rPr>
                  <w:rFonts w:ascii="Arial" w:cs="Arial" w:eastAsia="Arial" w:hAnsi="Arial"/>
                  <w:sz w:val="18"/>
                  <w:szCs w:val="18"/>
                  <w:color w:val="0000EE"/>
                </w:rPr>
                <w:t>(incorporated by reference to Exhibit 10.10 to the registrant’s Registration Statement on Form S-1 (File No. 333-250009), as</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29"/>
          </w:tcPr>
          <w:p>
            <w:pPr>
              <w:spacing w:after="0" w:line="182" w:lineRule="exact"/>
              <w:rPr>
                <w:rFonts w:ascii="Arial" w:cs="Arial" w:eastAsia="Arial" w:hAnsi="Arial"/>
                <w:sz w:val="18"/>
                <w:szCs w:val="18"/>
                <w:color w:val="0000EE"/>
              </w:rPr>
            </w:pPr>
            <w:hyperlink r:id="rId241">
              <w:r>
                <w:rPr>
                  <w:rFonts w:ascii="Arial" w:cs="Arial" w:eastAsia="Arial" w:hAnsi="Arial"/>
                  <w:sz w:val="18"/>
                  <w:szCs w:val="18"/>
                  <w:color w:val="0000EE"/>
                </w:rPr>
                <w:t>amended, filed with the SEC on November 10, 2020).</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60" w:type="dxa"/>
            <w:vAlign w:val="bottom"/>
            <w:gridSpan w:val="5"/>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w w:val="96"/>
              </w:rPr>
              <w:t>10.11*¥</w:t>
            </w:r>
          </w:p>
        </w:tc>
        <w:tc>
          <w:tcPr>
            <w:tcW w:w="480" w:type="dxa"/>
            <w:vAlign w:val="bottom"/>
          </w:tcPr>
          <w:p>
            <w:pPr>
              <w:spacing w:after="0"/>
              <w:rPr>
                <w:sz w:val="24"/>
                <w:szCs w:val="24"/>
                <w:color w:val="auto"/>
              </w:rPr>
            </w:pPr>
          </w:p>
        </w:tc>
        <w:tc>
          <w:tcPr>
            <w:tcW w:w="9900" w:type="dxa"/>
            <w:vAlign w:val="bottom"/>
            <w:gridSpan w:val="29"/>
          </w:tcPr>
          <w:p>
            <w:pPr>
              <w:spacing w:after="0"/>
              <w:rPr>
                <w:rFonts w:ascii="Arial" w:cs="Arial" w:eastAsia="Arial" w:hAnsi="Arial"/>
                <w:sz w:val="18"/>
                <w:szCs w:val="18"/>
                <w:color w:val="0000EE"/>
              </w:rPr>
            </w:pPr>
            <w:hyperlink r:id="rId242">
              <w:r>
                <w:rPr>
                  <w:rFonts w:ascii="Arial" w:cs="Arial" w:eastAsia="Arial" w:hAnsi="Arial"/>
                  <w:sz w:val="18"/>
                  <w:szCs w:val="18"/>
                  <w:color w:val="0000EE"/>
                </w:rPr>
                <w:t>Master Services Agreement, by and between the registrant and CE3, Inc., dated January 21, 2020 (incorporated by</w:t>
              </w:r>
            </w:hyperlink>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0" w:type="dxa"/>
            <w:vAlign w:val="bottom"/>
            <w:gridSpan w:val="8"/>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29"/>
          </w:tcPr>
          <w:p>
            <w:pPr>
              <w:spacing w:after="0" w:line="182" w:lineRule="exact"/>
              <w:rPr>
                <w:rFonts w:ascii="Arial" w:cs="Arial" w:eastAsia="Arial" w:hAnsi="Arial"/>
                <w:sz w:val="18"/>
                <w:szCs w:val="18"/>
                <w:color w:val="0000EE"/>
              </w:rPr>
            </w:pPr>
            <w:hyperlink r:id="rId242">
              <w:r>
                <w:rPr>
                  <w:rFonts w:ascii="Arial" w:cs="Arial" w:eastAsia="Arial" w:hAnsi="Arial"/>
                  <w:sz w:val="18"/>
                  <w:szCs w:val="18"/>
                  <w:color w:val="0000EE"/>
                </w:rPr>
                <w:t>reference to Exhibit 10.11 to the registrant’s Registration Statement on Form S-1 (File No. 333-250009), as amended, filed</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242">
              <w:r>
                <w:rPr>
                  <w:rFonts w:ascii="Arial" w:cs="Arial" w:eastAsia="Arial" w:hAnsi="Arial"/>
                  <w:sz w:val="18"/>
                  <w:szCs w:val="18"/>
                  <w:color w:val="0000EE"/>
                  <w:w w:val="99"/>
                </w:rPr>
                <w:t>with the SEC on November 10, 2020).</w:t>
              </w:r>
            </w:hyperlink>
          </w:p>
        </w:tc>
        <w:tc>
          <w:tcPr>
            <w:tcW w:w="6740" w:type="dxa"/>
            <w:vAlign w:val="bottom"/>
            <w:tcBorders>
              <w:top w:val="single" w:sz="8" w:color="0000EE"/>
            </w:tcBorders>
            <w:gridSpan w:val="20"/>
          </w:tcPr>
          <w:p>
            <w:pPr>
              <w:spacing w:after="0"/>
              <w:rPr>
                <w:sz w:val="15"/>
                <w:szCs w:val="15"/>
                <w:color w:val="auto"/>
              </w:rPr>
            </w:pPr>
          </w:p>
        </w:tc>
        <w:tc>
          <w:tcPr>
            <w:tcW w:w="120" w:type="dxa"/>
            <w:vAlign w:val="bottom"/>
            <w:gridSpan w:val="5"/>
          </w:tcPr>
          <w:p>
            <w:pPr>
              <w:spacing w:after="0"/>
              <w:rPr>
                <w:sz w:val="15"/>
                <w:szCs w:val="15"/>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w w:val="96"/>
              </w:rPr>
              <w:t>10.12*¥</w:t>
            </w:r>
          </w:p>
        </w:tc>
        <w:tc>
          <w:tcPr>
            <w:tcW w:w="480" w:type="dxa"/>
            <w:vAlign w:val="bottom"/>
          </w:tcPr>
          <w:p>
            <w:pPr>
              <w:spacing w:after="0"/>
              <w:rPr>
                <w:sz w:val="24"/>
                <w:szCs w:val="24"/>
                <w:color w:val="auto"/>
              </w:rPr>
            </w:pPr>
          </w:p>
        </w:tc>
        <w:tc>
          <w:tcPr>
            <w:tcW w:w="9900" w:type="dxa"/>
            <w:vAlign w:val="bottom"/>
            <w:gridSpan w:val="29"/>
          </w:tcPr>
          <w:p>
            <w:pPr>
              <w:spacing w:after="0"/>
              <w:rPr>
                <w:rFonts w:ascii="Arial" w:cs="Arial" w:eastAsia="Arial" w:hAnsi="Arial"/>
                <w:sz w:val="18"/>
                <w:szCs w:val="18"/>
                <w:color w:val="0000EE"/>
              </w:rPr>
            </w:pPr>
            <w:hyperlink r:id="rId243">
              <w:r>
                <w:rPr>
                  <w:rFonts w:ascii="Arial" w:cs="Arial" w:eastAsia="Arial" w:hAnsi="Arial"/>
                  <w:sz w:val="18"/>
                  <w:szCs w:val="18"/>
                  <w:color w:val="0000EE"/>
                </w:rPr>
                <w:t>Cell Line License Agreement, by and between the registrant and WuXi Biologics (Hong Kong) Limited, dated October 11,</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r:id="rId243">
              <w:r>
                <w:rPr>
                  <w:rFonts w:ascii="Arial" w:cs="Arial" w:eastAsia="Arial" w:hAnsi="Arial"/>
                  <w:sz w:val="18"/>
                  <w:szCs w:val="18"/>
                  <w:color w:val="0000EE"/>
                  <w:w w:val="99"/>
                </w:rPr>
                <w:t>2019 (incorporated by reference to Exhibit 10.12 to the registrant’s Registration Statement on Form S-1 (File</w:t>
              </w:r>
            </w:hyperlink>
          </w:p>
        </w:tc>
        <w:tc>
          <w:tcPr>
            <w:tcW w:w="1040" w:type="dxa"/>
            <w:vAlign w:val="bottom"/>
            <w:tcBorders>
              <w:top w:val="single" w:sz="8" w:color="0000EE"/>
            </w:tcBorders>
            <w:gridSpan w:val="9"/>
          </w:tcPr>
          <w:p>
            <w:pPr>
              <w:spacing w:after="0"/>
              <w:rPr>
                <w:sz w:val="15"/>
                <w:szCs w:val="15"/>
                <w:color w:val="auto"/>
              </w:rPr>
            </w:pPr>
          </w:p>
        </w:tc>
        <w:tc>
          <w:tcPr>
            <w:tcW w:w="240" w:type="dxa"/>
            <w:vAlign w:val="bottom"/>
            <w:gridSpan w:val="10"/>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29"/>
          </w:tcPr>
          <w:p>
            <w:pPr>
              <w:spacing w:after="0" w:line="182" w:lineRule="exact"/>
              <w:rPr>
                <w:rFonts w:ascii="Arial" w:cs="Arial" w:eastAsia="Arial" w:hAnsi="Arial"/>
                <w:sz w:val="18"/>
                <w:szCs w:val="18"/>
                <w:color w:val="0000EE"/>
              </w:rPr>
            </w:pPr>
            <w:hyperlink r:id="rId243">
              <w:r>
                <w:rPr>
                  <w:rFonts w:ascii="Arial" w:cs="Arial" w:eastAsia="Arial" w:hAnsi="Arial"/>
                  <w:sz w:val="18"/>
                  <w:szCs w:val="18"/>
                  <w:color w:val="0000EE"/>
                </w:rPr>
                <w:t>No. 333-250009), as amended, filed with the SEC on November 10, 2020).</w:t>
              </w:r>
            </w:hyperlink>
          </w:p>
        </w:tc>
      </w:tr>
      <w:tr>
        <w:trPr>
          <w:trHeight w:val="372"/>
        </w:trPr>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60" w:type="dxa"/>
            <w:vAlign w:val="bottom"/>
            <w:tcBorders>
              <w:top w:val="single" w:sz="8" w:color="0000EE"/>
            </w:tcBorders>
            <w:gridSpan w:val="6"/>
          </w:tcPr>
          <w:p>
            <w:pPr>
              <w:ind w:left="4260"/>
              <w:spacing w:after="0"/>
              <w:rPr>
                <w:sz w:val="20"/>
                <w:szCs w:val="20"/>
                <w:color w:val="auto"/>
              </w:rPr>
            </w:pPr>
            <w:r>
              <w:rPr>
                <w:rFonts w:ascii="Arial" w:cs="Arial" w:eastAsia="Arial" w:hAnsi="Arial"/>
                <w:sz w:val="18"/>
                <w:szCs w:val="18"/>
                <w:color w:val="auto"/>
                <w:w w:val="93"/>
              </w:rPr>
              <w:t>170</w:t>
            </w:r>
          </w:p>
        </w:tc>
        <w:tc>
          <w:tcPr>
            <w:tcW w:w="8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c>
          <w:tcPr>
            <w:tcW w:w="4460" w:type="dxa"/>
            <w:vAlign w:val="bottom"/>
            <w:gridSpan w:val="12"/>
          </w:tcPr>
          <w:p>
            <w:pPr>
              <w:spacing w:after="0"/>
              <w:rPr>
                <w:sz w:val="15"/>
                <w:szCs w:val="15"/>
                <w:color w:val="auto"/>
              </w:rPr>
            </w:pP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10.13</w:t>
            </w:r>
          </w:p>
        </w:tc>
        <w:tc>
          <w:tcPr>
            <w:tcW w:w="480" w:type="dxa"/>
            <w:vAlign w:val="bottom"/>
          </w:tcPr>
          <w:p>
            <w:pPr>
              <w:spacing w:after="0"/>
              <w:rPr>
                <w:sz w:val="24"/>
                <w:szCs w:val="24"/>
                <w:color w:val="auto"/>
              </w:rPr>
            </w:pPr>
          </w:p>
        </w:tc>
        <w:tc>
          <w:tcPr>
            <w:tcW w:w="9300" w:type="dxa"/>
            <w:vAlign w:val="bottom"/>
            <w:tcBorders>
              <w:bottom w:val="single" w:sz="8" w:color="0000EE"/>
            </w:tcBorders>
            <w:gridSpan w:val="12"/>
          </w:tcPr>
          <w:p>
            <w:pPr>
              <w:spacing w:after="0"/>
              <w:rPr>
                <w:rFonts w:ascii="Arial" w:cs="Arial" w:eastAsia="Arial" w:hAnsi="Arial"/>
                <w:sz w:val="18"/>
                <w:szCs w:val="18"/>
                <w:color w:val="0000EE"/>
              </w:rPr>
            </w:pPr>
            <w:hyperlink r:id="rId245">
              <w:r>
                <w:rPr>
                  <w:rFonts w:ascii="Arial" w:cs="Arial" w:eastAsia="Arial" w:hAnsi="Arial"/>
                  <w:sz w:val="18"/>
                  <w:szCs w:val="18"/>
                  <w:color w:val="0000EE"/>
                </w:rPr>
                <w:t>Loan and Security Agreement, by and between the registrant and Silicon Valley Bank, dated November 21, 2016, as</w:t>
              </w:r>
            </w:hyperlink>
          </w:p>
        </w:tc>
        <w:tc>
          <w:tcPr>
            <w:tcW w:w="520" w:type="dxa"/>
            <w:vAlign w:val="bottom"/>
            <w:gridSpan w:val="7"/>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20" w:type="dxa"/>
            <w:vAlign w:val="bottom"/>
            <w:gridSpan w:val="19"/>
          </w:tcPr>
          <w:p>
            <w:pPr>
              <w:spacing w:after="0" w:line="182" w:lineRule="exact"/>
              <w:rPr>
                <w:rFonts w:ascii="Arial" w:cs="Arial" w:eastAsia="Arial" w:hAnsi="Arial"/>
                <w:sz w:val="18"/>
                <w:szCs w:val="18"/>
                <w:color w:val="0000EE"/>
              </w:rPr>
            </w:pPr>
            <w:hyperlink r:id="rId245">
              <w:r>
                <w:rPr>
                  <w:rFonts w:ascii="Arial" w:cs="Arial" w:eastAsia="Arial" w:hAnsi="Arial"/>
                  <w:sz w:val="18"/>
                  <w:szCs w:val="18"/>
                  <w:color w:val="0000EE"/>
                </w:rPr>
                <w:t>amended (incorporated by reference to Exhibit 10.13 to the registrant’s Registration Statement on Form S-1 (File</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9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245">
              <w:r>
                <w:rPr>
                  <w:rFonts w:ascii="Arial" w:cs="Arial" w:eastAsia="Arial" w:hAnsi="Arial"/>
                  <w:sz w:val="18"/>
                  <w:szCs w:val="18"/>
                  <w:color w:val="0000EE"/>
                </w:rPr>
                <w:t>No. 333-250009), as amended, filed with the SEC on November 10, 2020).</w:t>
              </w:r>
            </w:hyperlink>
          </w:p>
        </w:tc>
        <w:tc>
          <w:tcPr>
            <w:tcW w:w="860" w:type="dxa"/>
            <w:vAlign w:val="bottom"/>
            <w:gridSpan w:val="8"/>
          </w:tcPr>
          <w:p>
            <w:pPr>
              <w:spacing w:after="0"/>
              <w:rPr>
                <w:sz w:val="15"/>
                <w:szCs w:val="15"/>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10.14+</w:t>
            </w:r>
          </w:p>
        </w:tc>
        <w:tc>
          <w:tcPr>
            <w:tcW w:w="480" w:type="dxa"/>
            <w:vAlign w:val="bottom"/>
          </w:tcPr>
          <w:p>
            <w:pPr>
              <w:spacing w:after="0"/>
              <w:rPr>
                <w:sz w:val="24"/>
                <w:szCs w:val="24"/>
                <w:color w:val="auto"/>
              </w:rPr>
            </w:pPr>
          </w:p>
        </w:tc>
        <w:tc>
          <w:tcPr>
            <w:tcW w:w="9500" w:type="dxa"/>
            <w:vAlign w:val="bottom"/>
            <w:tcBorders>
              <w:bottom w:val="single" w:sz="8" w:color="0000EE"/>
            </w:tcBorders>
            <w:gridSpan w:val="16"/>
          </w:tcPr>
          <w:p>
            <w:pPr>
              <w:spacing w:after="0"/>
              <w:rPr>
                <w:rFonts w:ascii="Arial" w:cs="Arial" w:eastAsia="Arial" w:hAnsi="Arial"/>
                <w:sz w:val="18"/>
                <w:szCs w:val="18"/>
                <w:color w:val="0000EE"/>
                <w:w w:val="99"/>
              </w:rPr>
            </w:pPr>
            <w:hyperlink r:id="rId246">
              <w:r>
                <w:rPr>
                  <w:rFonts w:ascii="Arial" w:cs="Arial" w:eastAsia="Arial" w:hAnsi="Arial"/>
                  <w:sz w:val="18"/>
                  <w:szCs w:val="18"/>
                  <w:color w:val="0000EE"/>
                  <w:w w:val="99"/>
                </w:rPr>
                <w:t>Silverback Therapeutics, Inc. 2020 Change in Control and Severance Benefit Plan (incorporated by reference to Exhibit</w:t>
              </w:r>
            </w:hyperlink>
          </w:p>
        </w:tc>
        <w:tc>
          <w:tcPr>
            <w:tcW w:w="320" w:type="dxa"/>
            <w:vAlign w:val="bottom"/>
            <w:gridSpan w:val="3"/>
          </w:tcPr>
          <w:p>
            <w:pPr>
              <w:spacing w:after="0"/>
              <w:rPr>
                <w:sz w:val="24"/>
                <w:szCs w:val="24"/>
                <w:color w:val="auto"/>
              </w:rPr>
            </w:pPr>
          </w:p>
        </w:tc>
      </w:tr>
      <w:tr>
        <w:trPr>
          <w:trHeight w:val="182"/>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r:id="rId246">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14</w:t>
              </w:r>
              <w:r>
                <w:rPr>
                  <w:rFonts w:ascii="Arial" w:cs="Arial" w:eastAsia="Arial" w:hAnsi="Arial"/>
                  <w:sz w:val="18"/>
                  <w:szCs w:val="18"/>
                  <w:color w:val="0000EE"/>
                  <w:w w:val="99"/>
                </w:rPr>
                <w:t xml:space="preserve"> to the registrant’s Registration Statement on Form S-1 (File No. 333-250009), as amended, filed with the SEC on</w:t>
              </w:r>
            </w:hyperlink>
          </w:p>
        </w:tc>
        <w:tc>
          <w:tcPr>
            <w:tcW w:w="340" w:type="dxa"/>
            <w:vAlign w:val="bottom"/>
            <w:gridSpan w:val="4"/>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00" w:type="dxa"/>
            <w:vAlign w:val="bottom"/>
            <w:tcBorders>
              <w:bottom w:val="single" w:sz="8" w:color="0000EE"/>
            </w:tcBorders>
          </w:tcPr>
          <w:p>
            <w:pPr>
              <w:spacing w:after="0" w:line="182" w:lineRule="exact"/>
              <w:rPr>
                <w:rFonts w:ascii="Arial" w:cs="Arial" w:eastAsia="Arial" w:hAnsi="Arial"/>
                <w:sz w:val="18"/>
                <w:szCs w:val="18"/>
                <w:color w:val="0000EE"/>
                <w:w w:val="99"/>
              </w:rPr>
            </w:pPr>
            <w:hyperlink r:id="rId246">
              <w:r>
                <w:rPr>
                  <w:rFonts w:ascii="Arial" w:cs="Arial" w:eastAsia="Arial" w:hAnsi="Arial"/>
                  <w:sz w:val="18"/>
                  <w:szCs w:val="18"/>
                  <w:color w:val="0000EE"/>
                  <w:w w:val="99"/>
                </w:rPr>
                <w:t>November 10, 2020).</w:t>
              </w:r>
            </w:hyperlink>
          </w:p>
        </w:tc>
        <w:tc>
          <w:tcPr>
            <w:tcW w:w="8120" w:type="dxa"/>
            <w:vAlign w:val="bottom"/>
            <w:gridSpan w:val="18"/>
          </w:tcPr>
          <w:p>
            <w:pPr>
              <w:spacing w:after="0"/>
              <w:rPr>
                <w:sz w:val="15"/>
                <w:szCs w:val="15"/>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10.15+</w:t>
            </w:r>
          </w:p>
        </w:tc>
        <w:tc>
          <w:tcPr>
            <w:tcW w:w="48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rFonts w:ascii="Arial" w:cs="Arial" w:eastAsia="Arial" w:hAnsi="Arial"/>
                <w:sz w:val="18"/>
                <w:szCs w:val="18"/>
                <w:color w:val="0000EE"/>
                <w:w w:val="99"/>
              </w:rPr>
            </w:pPr>
            <w:hyperlink r:id="rId247">
              <w:r>
                <w:rPr>
                  <w:rFonts w:ascii="Arial" w:cs="Arial" w:eastAsia="Arial" w:hAnsi="Arial"/>
                  <w:sz w:val="18"/>
                  <w:szCs w:val="18"/>
                  <w:color w:val="0000EE"/>
                  <w:w w:val="99"/>
                </w:rPr>
                <w:t>Non-Employee Director Compensation Policy (incorporated by reference to Exhibit 10.3 to the registrant’s Registration</w:t>
              </w:r>
            </w:hyperlink>
          </w:p>
        </w:tc>
        <w:tc>
          <w:tcPr>
            <w:tcW w:w="400" w:type="dxa"/>
            <w:vAlign w:val="bottom"/>
            <w:gridSpan w:val="5"/>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247">
              <w:r>
                <w:rPr>
                  <w:rFonts w:ascii="Arial" w:cs="Arial" w:eastAsia="Arial" w:hAnsi="Arial"/>
                  <w:sz w:val="18"/>
                  <w:szCs w:val="18"/>
                  <w:color w:val="0000EE"/>
                  <w:w w:val="99"/>
                </w:rPr>
                <w:t>Statement on Form S-1 (File No. 333-250009), as amended, filed with the SEC on November 30, 2020).</w:t>
              </w:r>
            </w:hyperlink>
          </w:p>
        </w:tc>
        <w:tc>
          <w:tcPr>
            <w:tcW w:w="1540" w:type="dxa"/>
            <w:vAlign w:val="bottom"/>
            <w:gridSpan w:val="9"/>
          </w:tcPr>
          <w:p>
            <w:pPr>
              <w:spacing w:after="0"/>
              <w:rPr>
                <w:sz w:val="15"/>
                <w:szCs w:val="15"/>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10.16**</w:t>
            </w:r>
          </w:p>
        </w:tc>
        <w:tc>
          <w:tcPr>
            <w:tcW w:w="480" w:type="dxa"/>
            <w:vAlign w:val="bottom"/>
          </w:tcPr>
          <w:p>
            <w:pPr>
              <w:spacing w:after="0"/>
              <w:rPr>
                <w:sz w:val="24"/>
                <w:szCs w:val="24"/>
                <w:color w:val="auto"/>
              </w:rPr>
            </w:pPr>
          </w:p>
        </w:tc>
        <w:tc>
          <w:tcPr>
            <w:tcW w:w="982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179">
              <w:r>
                <w:rPr>
                  <w:rFonts w:ascii="Arial" w:cs="Arial" w:eastAsia="Arial" w:hAnsi="Arial"/>
                  <w:sz w:val="18"/>
                  <w:szCs w:val="18"/>
                  <w:color w:val="0000EE"/>
                  <w:w w:val="99"/>
                </w:rPr>
                <w:t>Amendment No. 1 to Cell Line License Agreement, by and between the registrant and WuXi Biologics (Hong Kong) Limited,</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20" w:type="dxa"/>
            <w:vAlign w:val="bottom"/>
            <w:gridSpan w:val="19"/>
          </w:tcPr>
          <w:p>
            <w:pPr>
              <w:spacing w:after="0" w:line="182" w:lineRule="exact"/>
              <w:rPr>
                <w:rFonts w:ascii="Arial" w:cs="Arial" w:eastAsia="Arial" w:hAnsi="Arial"/>
                <w:sz w:val="18"/>
                <w:szCs w:val="18"/>
                <w:color w:val="0000EE"/>
              </w:rPr>
            </w:pPr>
            <w:hyperlink w:anchor="page179">
              <w:r>
                <w:rPr>
                  <w:rFonts w:ascii="Arial" w:cs="Arial" w:eastAsia="Arial" w:hAnsi="Arial"/>
                  <w:sz w:val="18"/>
                  <w:szCs w:val="18"/>
                  <w:color w:val="0000EE"/>
                </w:rPr>
                <w:t>dated January 12, 2021.</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24"/>
                <w:szCs w:val="24"/>
                <w:color w:val="auto"/>
              </w:rPr>
            </w:pPr>
          </w:p>
        </w:tc>
        <w:tc>
          <w:tcPr>
            <w:tcW w:w="9820" w:type="dxa"/>
            <w:vAlign w:val="bottom"/>
            <w:gridSpan w:val="19"/>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Consent of Independent Registered Public Accounting Firm.</w:t>
              </w:r>
            </w:hyperlink>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24.1</w:t>
            </w:r>
          </w:p>
        </w:tc>
        <w:tc>
          <w:tcPr>
            <w:tcW w:w="480" w:type="dxa"/>
            <w:vAlign w:val="bottom"/>
          </w:tcPr>
          <w:p>
            <w:pPr>
              <w:spacing w:after="0"/>
              <w:rPr>
                <w:sz w:val="24"/>
                <w:szCs w:val="24"/>
                <w:color w:val="auto"/>
              </w:rPr>
            </w:pPr>
          </w:p>
        </w:tc>
        <w:tc>
          <w:tcPr>
            <w:tcW w:w="4780" w:type="dxa"/>
            <w:vAlign w:val="bottom"/>
            <w:tcBorders>
              <w:top w:val="single" w:sz="8" w:color="0000EE"/>
            </w:tcBorders>
            <w:gridSpan w:val="6"/>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Power of Attorney (see signature page).</w:t>
              </w:r>
            </w:hyperlink>
          </w:p>
        </w:tc>
        <w:tc>
          <w:tcPr>
            <w:tcW w:w="5040" w:type="dxa"/>
            <w:vAlign w:val="bottom"/>
            <w:gridSpan w:val="13"/>
          </w:tcPr>
          <w:p>
            <w:pPr>
              <w:spacing w:after="0"/>
              <w:rPr>
                <w:sz w:val="24"/>
                <w:szCs w:val="24"/>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9820" w:type="dxa"/>
            <w:vAlign w:val="bottom"/>
            <w:gridSpan w:val="19"/>
          </w:tcPr>
          <w:p>
            <w:pPr>
              <w:spacing w:after="0"/>
              <w:rPr>
                <w:rFonts w:ascii="Arial" w:cs="Arial" w:eastAsia="Arial" w:hAnsi="Arial"/>
                <w:sz w:val="18"/>
                <w:szCs w:val="18"/>
                <w:color w:val="0000EE"/>
                <w:w w:val="99"/>
              </w:rPr>
            </w:pPr>
            <w:hyperlink w:anchor="page182">
              <w:r>
                <w:rPr>
                  <w:rFonts w:ascii="Arial" w:cs="Arial" w:eastAsia="Arial" w:hAnsi="Arial"/>
                  <w:sz w:val="18"/>
                  <w:szCs w:val="18"/>
                  <w:color w:val="0000EE"/>
                  <w:w w:val="99"/>
                </w:rPr>
                <w:t>Certification of Principal Executive Officer Pursuant to Rules 13a-14(a) and 15d-14(a) under the Securities Exchange Act of</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182">
              <w:r>
                <w:rPr>
                  <w:rFonts w:ascii="Arial" w:cs="Arial" w:eastAsia="Arial" w:hAnsi="Arial"/>
                  <w:sz w:val="18"/>
                  <w:szCs w:val="18"/>
                  <w:color w:val="0000EE"/>
                  <w:w w:val="99"/>
                </w:rPr>
                <w:t>1934, as Adopted Pursuant to Section 302 of the Sarbanes-Oxley Act of 2002.</w:t>
              </w:r>
            </w:hyperlink>
          </w:p>
        </w:tc>
        <w:tc>
          <w:tcPr>
            <w:tcW w:w="356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9820" w:type="dxa"/>
            <w:vAlign w:val="bottom"/>
            <w:gridSpan w:val="19"/>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Certification of Principal Financial Officer Pursuant to Rules 13a-14(a) and 15d-14(a) under the Securities Exchange Act of</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183">
              <w:r>
                <w:rPr>
                  <w:rFonts w:ascii="Arial" w:cs="Arial" w:eastAsia="Arial" w:hAnsi="Arial"/>
                  <w:sz w:val="18"/>
                  <w:szCs w:val="18"/>
                  <w:color w:val="0000EE"/>
                  <w:w w:val="99"/>
                </w:rPr>
                <w:t>1934, as Adopted Pursuant to Section 302 of the Sarbanes-Oxley Act of 2002.</w:t>
              </w:r>
            </w:hyperlink>
          </w:p>
        </w:tc>
        <w:tc>
          <w:tcPr>
            <w:tcW w:w="3500" w:type="dxa"/>
            <w:vAlign w:val="bottom"/>
            <w:tcBorders>
              <w:top w:val="single" w:sz="8" w:color="0000EE"/>
            </w:tcBorders>
            <w:gridSpan w:val="8"/>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94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184">
              <w:r>
                <w:rPr>
                  <w:rFonts w:ascii="Arial" w:cs="Arial" w:eastAsia="Arial" w:hAnsi="Arial"/>
                  <w:sz w:val="18"/>
                  <w:szCs w:val="18"/>
                  <w:color w:val="0000EE"/>
                  <w:w w:val="99"/>
                </w:rPr>
                <w:t>Certification of Principal Executive and Financial Officers Pursuant to 18 U.S.C. Section 1350, as Adopted Pursuant to</w:t>
              </w:r>
            </w:hyperlink>
          </w:p>
        </w:tc>
        <w:tc>
          <w:tcPr>
            <w:tcW w:w="420" w:type="dxa"/>
            <w:vAlign w:val="bottom"/>
            <w:gridSpan w:val="6"/>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20" w:type="dxa"/>
            <w:vAlign w:val="bottom"/>
            <w:gridSpan w:val="19"/>
          </w:tcPr>
          <w:p>
            <w:pPr>
              <w:spacing w:after="0" w:line="182" w:lineRule="exact"/>
              <w:rPr>
                <w:rFonts w:ascii="Arial" w:cs="Arial" w:eastAsia="Arial" w:hAnsi="Arial"/>
                <w:sz w:val="18"/>
                <w:szCs w:val="18"/>
                <w:color w:val="0000EE"/>
              </w:rPr>
            </w:pPr>
            <w:hyperlink w:anchor="page184">
              <w:r>
                <w:rPr>
                  <w:rFonts w:ascii="Arial" w:cs="Arial" w:eastAsia="Arial" w:hAnsi="Arial"/>
                  <w:sz w:val="18"/>
                  <w:szCs w:val="18"/>
                  <w:color w:val="0000EE"/>
                </w:rPr>
                <w:t>Section 906 of the Sarbanes-Oxley Act of 2002.</w:t>
              </w:r>
            </w:hyperlink>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ind w:left="660" w:hanging="544"/>
        <w:spacing w:after="0"/>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 w:lineRule="exact"/>
        <w:rPr>
          <w:sz w:val="20"/>
          <w:szCs w:val="20"/>
          <w:color w:val="auto"/>
        </w:rPr>
      </w:pPr>
    </w:p>
    <w:p>
      <w:pPr>
        <w:ind w:left="660" w:hanging="544"/>
        <w:spacing w:after="0"/>
        <w:tabs>
          <w:tab w:leader="none" w:pos="6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Schedules have been omitted pursuant to Item 601(a)(5) of Regulation S-K. The registrant undertakes to furnish supplemental copies of any of the omitted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schedules upon request by the SEC.</w:t>
      </w:r>
    </w:p>
    <w:p>
      <w:pPr>
        <w:spacing w:after="0" w:line="1" w:lineRule="exact"/>
        <w:rPr>
          <w:sz w:val="20"/>
          <w:szCs w:val="20"/>
          <w:color w:val="auto"/>
        </w:rPr>
      </w:pPr>
    </w:p>
    <w:p>
      <w:pPr>
        <w:ind w:left="660" w:hanging="544"/>
        <w:spacing w:after="0"/>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Certain portions of this exhibit are omitted because they are not material and would likely cause competitive harm to the registrant if disclosed.</w:t>
      </w:r>
    </w:p>
    <w:p>
      <w:pPr>
        <w:spacing w:after="0" w:line="1"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**Certain information in this exhibit is omitted because it is both not material and is the type that the registrant treats as private or confidential.</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Form 10-K Summary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40"/>
          </w:cols>
          <w:pgMar w:left="320" w:top="459" w:right="5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Company Name</w:t>
      </w:r>
    </w:p>
    <w:p>
      <w:pPr>
        <w:spacing w:after="0" w:line="212" w:lineRule="exact"/>
        <w:rPr>
          <w:sz w:val="20"/>
          <w:szCs w:val="20"/>
          <w:color w:val="auto"/>
        </w:rPr>
      </w:pPr>
    </w:p>
    <w:p>
      <w:pPr>
        <w:ind w:left="120"/>
        <w:spacing w:after="0"/>
        <w:tabs>
          <w:tab w:leader="none" w:pos="5920" w:val="left"/>
          <w:tab w:leader="none" w:pos="638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Laura Shawver,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-1905</wp:posOffset>
            </wp:positionV>
            <wp:extent cx="30003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Laura Shawver, Ph.D.</w:t>
      </w:r>
    </w:p>
    <w:p>
      <w:pPr>
        <w:ind w:left="6400"/>
        <w:spacing w:after="0"/>
        <w:rPr>
          <w:sz w:val="20"/>
          <w:szCs w:val="20"/>
          <w:color w:val="auto"/>
        </w:rPr>
      </w:pPr>
      <w:r>
        <w:rPr>
          <w:rFonts w:ascii="Arial" w:cs="Arial" w:eastAsia="Arial" w:hAnsi="Arial"/>
          <w:sz w:val="18"/>
          <w:szCs w:val="18"/>
          <w:i w:val="1"/>
          <w:iCs w:val="1"/>
          <w:color w:val="auto"/>
        </w:rPr>
        <w:t>Chief Executive Officer</w:t>
      </w: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Laura Shawver and Jonathan Piazza, and each of them, his or her true and lawful attorneys-in -fact,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02" w:lineRule="exact"/>
        <w:rPr>
          <w:sz w:val="20"/>
          <w:szCs w:val="20"/>
          <w:color w:val="auto"/>
        </w:rPr>
      </w:pPr>
    </w:p>
    <w:p>
      <w:pPr>
        <w:ind w:left="120" w:right="460" w:firstLine="551"/>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w:t>
            </w:r>
          </w:p>
        </w:tc>
        <w:tc>
          <w:tcPr>
            <w:tcW w:w="2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460" w:type="dxa"/>
            <w:vAlign w:val="bottom"/>
          </w:tcPr>
          <w:p>
            <w:pPr>
              <w:spacing w:after="0"/>
              <w:rPr>
                <w:sz w:val="15"/>
                <w:szCs w:val="15"/>
                <w:color w:val="auto"/>
              </w:rPr>
            </w:pPr>
          </w:p>
        </w:tc>
      </w:tr>
      <w:tr>
        <w:trPr>
          <w:trHeight w:val="325"/>
        </w:trPr>
        <w:tc>
          <w:tcPr>
            <w:tcW w:w="14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83"/>
              </w:rPr>
              <w:t>/s/</w:t>
            </w:r>
          </w:p>
        </w:tc>
        <w:tc>
          <w:tcPr>
            <w:tcW w:w="3560" w:type="dxa"/>
            <w:vAlign w:val="bottom"/>
            <w:tcBorders>
              <w:bottom w:val="single" w:sz="8" w:color="auto"/>
            </w:tcBorders>
            <w:gridSpan w:val="4"/>
          </w:tcPr>
          <w:p>
            <w:pPr>
              <w:jc w:val="center"/>
              <w:ind w:right="1400"/>
              <w:spacing w:after="0"/>
              <w:rPr>
                <w:sz w:val="20"/>
                <w:szCs w:val="20"/>
                <w:color w:val="auto"/>
              </w:rPr>
            </w:pPr>
            <w:r>
              <w:rPr>
                <w:rFonts w:ascii="Arial" w:cs="Arial" w:eastAsia="Arial" w:hAnsi="Arial"/>
                <w:sz w:val="18"/>
                <w:szCs w:val="18"/>
                <w:color w:val="auto"/>
                <w:w w:val="99"/>
              </w:rPr>
              <w:t>Laura Shawver, Ph.D.</w:t>
            </w:r>
          </w:p>
        </w:tc>
        <w:tc>
          <w:tcPr>
            <w:tcW w:w="398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Chief Executive Officer and Director</w:t>
            </w:r>
          </w:p>
        </w:tc>
        <w:tc>
          <w:tcPr>
            <w:tcW w:w="176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March 29, 2021</w:t>
            </w:r>
          </w:p>
        </w:tc>
      </w:tr>
      <w:tr>
        <w:trPr>
          <w:trHeight w:val="217"/>
        </w:trPr>
        <w:tc>
          <w:tcPr>
            <w:tcW w:w="1400" w:type="dxa"/>
            <w:vAlign w:val="bottom"/>
          </w:tcPr>
          <w:p>
            <w:pPr>
              <w:spacing w:after="0"/>
              <w:rPr>
                <w:sz w:val="18"/>
                <w:szCs w:val="18"/>
                <w:color w:val="auto"/>
              </w:rPr>
            </w:pPr>
          </w:p>
        </w:tc>
        <w:tc>
          <w:tcPr>
            <w:tcW w:w="3560" w:type="dxa"/>
            <w:vAlign w:val="bottom"/>
            <w:gridSpan w:val="4"/>
          </w:tcPr>
          <w:p>
            <w:pPr>
              <w:jc w:val="center"/>
              <w:ind w:right="1400"/>
              <w:spacing w:after="0"/>
              <w:rPr>
                <w:sz w:val="20"/>
                <w:szCs w:val="20"/>
                <w:color w:val="auto"/>
              </w:rPr>
            </w:pPr>
            <w:r>
              <w:rPr>
                <w:rFonts w:ascii="Arial" w:cs="Arial" w:eastAsia="Arial" w:hAnsi="Arial"/>
                <w:sz w:val="18"/>
                <w:szCs w:val="18"/>
                <w:color w:val="auto"/>
                <w:w w:val="99"/>
              </w:rPr>
              <w:t>Laura Shawver, Ph.D.</w:t>
            </w:r>
          </w:p>
        </w:tc>
        <w:tc>
          <w:tcPr>
            <w:tcW w:w="3980" w:type="dxa"/>
            <w:vAlign w:val="bottom"/>
            <w:gridSpan w:val="3"/>
          </w:tcPr>
          <w:p>
            <w:pPr>
              <w:jc w:val="center"/>
              <w:ind w:left="30"/>
              <w:spacing w:after="0" w:line="202" w:lineRule="exact"/>
              <w:rPr>
                <w:sz w:val="20"/>
                <w:szCs w:val="20"/>
                <w:color w:val="auto"/>
              </w:rPr>
            </w:pPr>
            <w:r>
              <w:rPr>
                <w:rFonts w:ascii="Arial" w:cs="Arial" w:eastAsia="Arial" w:hAnsi="Arial"/>
                <w:sz w:val="18"/>
                <w:szCs w:val="18"/>
                <w:i w:val="1"/>
                <w:iCs w:val="1"/>
                <w:color w:val="auto"/>
                <w:w w:val="99"/>
              </w:rPr>
              <w:t>(Principal Executive Officer)</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30"/>
        </w:trPr>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rPr>
              <w:t>Jonathan Piazza</w:t>
            </w:r>
          </w:p>
        </w:tc>
        <w:tc>
          <w:tcPr>
            <w:tcW w:w="3980" w:type="dxa"/>
            <w:vAlign w:val="bottom"/>
            <w:gridSpan w:val="3"/>
          </w:tcPr>
          <w:p>
            <w:pPr>
              <w:jc w:val="center"/>
              <w:ind w:left="30"/>
              <w:spacing w:after="0"/>
              <w:rPr>
                <w:sz w:val="20"/>
                <w:szCs w:val="20"/>
                <w:color w:val="auto"/>
              </w:rPr>
            </w:pPr>
            <w:r>
              <w:rPr>
                <w:rFonts w:ascii="Arial" w:cs="Arial" w:eastAsia="Arial" w:hAnsi="Arial"/>
                <w:sz w:val="18"/>
                <w:szCs w:val="18"/>
                <w:color w:val="auto"/>
              </w:rPr>
              <w:t>Chief Financial Officer</w:t>
            </w:r>
          </w:p>
        </w:tc>
        <w:tc>
          <w:tcPr>
            <w:tcW w:w="176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March 29, 2021</w:t>
            </w:r>
          </w:p>
        </w:tc>
      </w:tr>
      <w:tr>
        <w:trPr>
          <w:trHeight w:val="217"/>
        </w:trPr>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3"/>
          </w:tcPr>
          <w:p>
            <w:pPr>
              <w:jc w:val="center"/>
              <w:ind w:right="1660"/>
              <w:spacing w:after="0"/>
              <w:rPr>
                <w:sz w:val="20"/>
                <w:szCs w:val="20"/>
                <w:color w:val="auto"/>
              </w:rPr>
            </w:pPr>
            <w:r>
              <w:rPr>
                <w:rFonts w:ascii="Arial" w:cs="Arial" w:eastAsia="Arial" w:hAnsi="Arial"/>
                <w:sz w:val="18"/>
                <w:szCs w:val="18"/>
                <w:color w:val="auto"/>
                <w:w w:val="99"/>
              </w:rPr>
              <w:t>Jonathan Piazza</w:t>
            </w:r>
          </w:p>
        </w:tc>
        <w:tc>
          <w:tcPr>
            <w:tcW w:w="3980" w:type="dxa"/>
            <w:vAlign w:val="bottom"/>
            <w:gridSpan w:val="3"/>
          </w:tcPr>
          <w:p>
            <w:pPr>
              <w:jc w:val="center"/>
              <w:ind w:left="10"/>
              <w:spacing w:after="0" w:line="202" w:lineRule="exact"/>
              <w:rPr>
                <w:sz w:val="20"/>
                <w:szCs w:val="20"/>
                <w:color w:val="auto"/>
              </w:rPr>
            </w:pPr>
            <w:r>
              <w:rPr>
                <w:rFonts w:ascii="Arial" w:cs="Arial" w:eastAsia="Arial" w:hAnsi="Arial"/>
                <w:sz w:val="18"/>
                <w:szCs w:val="18"/>
                <w:i w:val="1"/>
                <w:iCs w:val="1"/>
                <w:color w:val="auto"/>
                <w:w w:val="99"/>
              </w:rPr>
              <w:t>(Principal Financial Officer)</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30"/>
        </w:trPr>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9"/>
              </w:rPr>
              <w:t>Russ Hawkinson</w:t>
            </w:r>
          </w:p>
        </w:tc>
        <w:tc>
          <w:tcPr>
            <w:tcW w:w="398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Senior Vice President of Finance</w:t>
            </w:r>
          </w:p>
        </w:tc>
        <w:tc>
          <w:tcPr>
            <w:tcW w:w="176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March 29, 2021</w:t>
            </w:r>
          </w:p>
        </w:tc>
      </w:tr>
      <w:tr>
        <w:trPr>
          <w:trHeight w:val="217"/>
        </w:trPr>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3"/>
          </w:tcPr>
          <w:p>
            <w:pPr>
              <w:jc w:val="center"/>
              <w:ind w:right="1640"/>
              <w:spacing w:after="0"/>
              <w:rPr>
                <w:sz w:val="20"/>
                <w:szCs w:val="20"/>
                <w:color w:val="auto"/>
              </w:rPr>
            </w:pPr>
            <w:r>
              <w:rPr>
                <w:rFonts w:ascii="Arial" w:cs="Arial" w:eastAsia="Arial" w:hAnsi="Arial"/>
                <w:sz w:val="18"/>
                <w:szCs w:val="18"/>
                <w:color w:val="auto"/>
                <w:w w:val="99"/>
              </w:rPr>
              <w:t>Russ Hawkinson</w:t>
            </w:r>
          </w:p>
        </w:tc>
        <w:tc>
          <w:tcPr>
            <w:tcW w:w="3980" w:type="dxa"/>
            <w:vAlign w:val="bottom"/>
            <w:gridSpan w:val="3"/>
          </w:tcPr>
          <w:p>
            <w:pPr>
              <w:jc w:val="center"/>
              <w:ind w:left="30"/>
              <w:spacing w:after="0" w:line="202" w:lineRule="exact"/>
              <w:rPr>
                <w:sz w:val="20"/>
                <w:szCs w:val="20"/>
                <w:color w:val="auto"/>
              </w:rPr>
            </w:pPr>
            <w:r>
              <w:rPr>
                <w:rFonts w:ascii="Arial" w:cs="Arial" w:eastAsia="Arial" w:hAnsi="Arial"/>
                <w:sz w:val="18"/>
                <w:szCs w:val="18"/>
                <w:i w:val="1"/>
                <w:iCs w:val="1"/>
                <w:color w:val="auto"/>
              </w:rPr>
              <w:t>(Principal Accounting Officer)</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37"/>
        </w:trPr>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gridSpan w:val="4"/>
          </w:tcPr>
          <w:p>
            <w:pPr>
              <w:jc w:val="center"/>
              <w:ind w:right="1400"/>
              <w:spacing w:after="0"/>
              <w:rPr>
                <w:sz w:val="20"/>
                <w:szCs w:val="20"/>
                <w:color w:val="auto"/>
              </w:rPr>
            </w:pPr>
            <w:r>
              <w:rPr>
                <w:rFonts w:ascii="Arial" w:cs="Arial" w:eastAsia="Arial" w:hAnsi="Arial"/>
                <w:sz w:val="18"/>
                <w:szCs w:val="18"/>
                <w:color w:val="auto"/>
                <w:w w:val="99"/>
              </w:rPr>
              <w:t>Peter Thompson, M.D.</w:t>
            </w:r>
          </w:p>
        </w:tc>
        <w:tc>
          <w:tcPr>
            <w:tcW w:w="398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Chairman of the Board of Directors</w:t>
            </w:r>
          </w:p>
        </w:tc>
        <w:tc>
          <w:tcPr>
            <w:tcW w:w="176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March 29, 2021</w:t>
            </w:r>
          </w:p>
        </w:tc>
      </w:tr>
      <w:tr>
        <w:trPr>
          <w:trHeight w:val="210"/>
        </w:trPr>
        <w:tc>
          <w:tcPr>
            <w:tcW w:w="1400" w:type="dxa"/>
            <w:vAlign w:val="bottom"/>
          </w:tcPr>
          <w:p>
            <w:pPr>
              <w:spacing w:after="0"/>
              <w:rPr>
                <w:sz w:val="18"/>
                <w:szCs w:val="18"/>
                <w:color w:val="auto"/>
              </w:rPr>
            </w:pPr>
          </w:p>
        </w:tc>
        <w:tc>
          <w:tcPr>
            <w:tcW w:w="3560" w:type="dxa"/>
            <w:vAlign w:val="bottom"/>
            <w:gridSpan w:val="4"/>
          </w:tcPr>
          <w:p>
            <w:pPr>
              <w:jc w:val="center"/>
              <w:ind w:right="1400"/>
              <w:spacing w:after="0"/>
              <w:rPr>
                <w:sz w:val="20"/>
                <w:szCs w:val="20"/>
                <w:color w:val="auto"/>
              </w:rPr>
            </w:pPr>
            <w:r>
              <w:rPr>
                <w:rFonts w:ascii="Arial" w:cs="Arial" w:eastAsia="Arial" w:hAnsi="Arial"/>
                <w:sz w:val="18"/>
                <w:szCs w:val="18"/>
                <w:color w:val="auto"/>
                <w:w w:val="99"/>
              </w:rPr>
              <w:t>Peter Thompson, M.D.</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37"/>
        </w:trPr>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/s/</w:t>
            </w:r>
          </w:p>
        </w:tc>
        <w:tc>
          <w:tcPr>
            <w:tcW w:w="330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9"/>
              </w:rPr>
              <w:t>Vickie L. Capps</w:t>
            </w:r>
          </w:p>
        </w:tc>
        <w:tc>
          <w:tcPr>
            <w:tcW w:w="3980" w:type="dxa"/>
            <w:vAlign w:val="bottom"/>
            <w:gridSpan w:val="3"/>
          </w:tcPr>
          <w:p>
            <w:pPr>
              <w:jc w:val="center"/>
              <w:ind w:left="30"/>
              <w:spacing w:after="0"/>
              <w:rPr>
                <w:sz w:val="20"/>
                <w:szCs w:val="20"/>
                <w:color w:val="auto"/>
              </w:rPr>
            </w:pPr>
            <w:r>
              <w:rPr>
                <w:rFonts w:ascii="Arial" w:cs="Arial" w:eastAsia="Arial" w:hAnsi="Arial"/>
                <w:sz w:val="18"/>
                <w:szCs w:val="18"/>
                <w:color w:val="auto"/>
                <w:w w:val="98"/>
              </w:rPr>
              <w:t>Director</w:t>
            </w:r>
          </w:p>
        </w:tc>
        <w:tc>
          <w:tcPr>
            <w:tcW w:w="176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March 29, 2021</w:t>
            </w:r>
          </w:p>
        </w:tc>
      </w:tr>
      <w:tr>
        <w:trPr>
          <w:trHeight w:val="210"/>
        </w:trPr>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3"/>
          </w:tcPr>
          <w:p>
            <w:pPr>
              <w:jc w:val="center"/>
              <w:ind w:right="1660"/>
              <w:spacing w:after="0"/>
              <w:rPr>
                <w:sz w:val="20"/>
                <w:szCs w:val="20"/>
                <w:color w:val="auto"/>
              </w:rPr>
            </w:pPr>
            <w:r>
              <w:rPr>
                <w:rFonts w:ascii="Arial" w:cs="Arial" w:eastAsia="Arial" w:hAnsi="Arial"/>
                <w:sz w:val="18"/>
                <w:szCs w:val="18"/>
                <w:color w:val="auto"/>
                <w:w w:val="99"/>
              </w:rPr>
              <w:t>Vickie L. Capps</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37"/>
        </w:trPr>
        <w:tc>
          <w:tcPr>
            <w:tcW w:w="4960" w:type="dxa"/>
            <w:vAlign w:val="bottom"/>
            <w:tcBorders>
              <w:bottom w:val="single" w:sz="8" w:color="auto"/>
            </w:tcBorders>
            <w:gridSpan w:val="5"/>
          </w:tcPr>
          <w:p>
            <w:pPr>
              <w:ind w:left="860"/>
              <w:spacing w:after="0"/>
              <w:rPr>
                <w:sz w:val="20"/>
                <w:szCs w:val="20"/>
                <w:color w:val="auto"/>
              </w:rPr>
            </w:pPr>
            <w:r>
              <w:rPr>
                <w:rFonts w:ascii="Arial" w:cs="Arial" w:eastAsia="Arial" w:hAnsi="Arial"/>
                <w:sz w:val="18"/>
                <w:szCs w:val="18"/>
                <w:color w:val="auto"/>
              </w:rPr>
              <w:t>/s/  Robert Hershberg, M.D., Ph.D.</w:t>
            </w:r>
          </w:p>
        </w:tc>
        <w:tc>
          <w:tcPr>
            <w:tcW w:w="3980" w:type="dxa"/>
            <w:vAlign w:val="bottom"/>
            <w:gridSpan w:val="3"/>
          </w:tcPr>
          <w:p>
            <w:pPr>
              <w:jc w:val="center"/>
              <w:ind w:left="30"/>
              <w:spacing w:after="0"/>
              <w:rPr>
                <w:sz w:val="20"/>
                <w:szCs w:val="20"/>
                <w:color w:val="auto"/>
              </w:rPr>
            </w:pPr>
            <w:r>
              <w:rPr>
                <w:rFonts w:ascii="Arial" w:cs="Arial" w:eastAsia="Arial" w:hAnsi="Arial"/>
                <w:sz w:val="18"/>
                <w:szCs w:val="18"/>
                <w:color w:val="auto"/>
                <w:w w:val="98"/>
              </w:rPr>
              <w:t>Director</w:t>
            </w:r>
          </w:p>
        </w:tc>
        <w:tc>
          <w:tcPr>
            <w:tcW w:w="176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March 29, 2021</w:t>
            </w:r>
          </w:p>
        </w:tc>
      </w:tr>
      <w:tr>
        <w:trPr>
          <w:trHeight w:val="210"/>
        </w:trPr>
        <w:tc>
          <w:tcPr>
            <w:tcW w:w="4960" w:type="dxa"/>
            <w:vAlign w:val="bottom"/>
            <w:gridSpan w:val="5"/>
          </w:tcPr>
          <w:p>
            <w:pPr>
              <w:jc w:val="center"/>
              <w:spacing w:after="0"/>
              <w:rPr>
                <w:sz w:val="20"/>
                <w:szCs w:val="20"/>
                <w:color w:val="auto"/>
              </w:rPr>
            </w:pPr>
            <w:r>
              <w:rPr>
                <w:rFonts w:ascii="Arial" w:cs="Arial" w:eastAsia="Arial" w:hAnsi="Arial"/>
                <w:sz w:val="18"/>
                <w:szCs w:val="18"/>
                <w:color w:val="auto"/>
                <w:w w:val="99"/>
              </w:rPr>
              <w:t>Robert Hershberg, M.D., Ph.D.</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37"/>
        </w:trPr>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9"/>
              </w:rPr>
              <w:t>Saqib Islam, J.D.</w:t>
            </w:r>
          </w:p>
        </w:tc>
        <w:tc>
          <w:tcPr>
            <w:tcW w:w="3980" w:type="dxa"/>
            <w:vAlign w:val="bottom"/>
            <w:gridSpan w:val="3"/>
          </w:tcPr>
          <w:p>
            <w:pPr>
              <w:jc w:val="center"/>
              <w:ind w:left="30"/>
              <w:spacing w:after="0"/>
              <w:rPr>
                <w:sz w:val="20"/>
                <w:szCs w:val="20"/>
                <w:color w:val="auto"/>
              </w:rPr>
            </w:pPr>
            <w:r>
              <w:rPr>
                <w:rFonts w:ascii="Arial" w:cs="Arial" w:eastAsia="Arial" w:hAnsi="Arial"/>
                <w:sz w:val="18"/>
                <w:szCs w:val="18"/>
                <w:color w:val="auto"/>
                <w:w w:val="98"/>
              </w:rPr>
              <w:t>Director</w:t>
            </w:r>
          </w:p>
        </w:tc>
        <w:tc>
          <w:tcPr>
            <w:tcW w:w="176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March 29, 2021</w:t>
            </w:r>
          </w:p>
        </w:tc>
      </w:tr>
      <w:tr>
        <w:trPr>
          <w:trHeight w:val="210"/>
        </w:trPr>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3"/>
          </w:tcPr>
          <w:p>
            <w:pPr>
              <w:jc w:val="center"/>
              <w:ind w:right="1660"/>
              <w:spacing w:after="0"/>
              <w:rPr>
                <w:sz w:val="20"/>
                <w:szCs w:val="20"/>
                <w:color w:val="auto"/>
              </w:rPr>
            </w:pPr>
            <w:r>
              <w:rPr>
                <w:rFonts w:ascii="Arial" w:cs="Arial" w:eastAsia="Arial" w:hAnsi="Arial"/>
                <w:sz w:val="18"/>
                <w:szCs w:val="18"/>
                <w:color w:val="auto"/>
                <w:w w:val="99"/>
              </w:rPr>
              <w:t>Saqib Islam, J.D.</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37"/>
        </w:trPr>
        <w:tc>
          <w:tcPr>
            <w:tcW w:w="166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rPr>
              <w:t>Andrew Powell, J.D.</w:t>
            </w:r>
          </w:p>
        </w:tc>
        <w:tc>
          <w:tcPr>
            <w:tcW w:w="3980" w:type="dxa"/>
            <w:vAlign w:val="bottom"/>
            <w:gridSpan w:val="3"/>
          </w:tcPr>
          <w:p>
            <w:pPr>
              <w:jc w:val="center"/>
              <w:ind w:left="30"/>
              <w:spacing w:after="0"/>
              <w:rPr>
                <w:sz w:val="20"/>
                <w:szCs w:val="20"/>
                <w:color w:val="auto"/>
              </w:rPr>
            </w:pPr>
            <w:r>
              <w:rPr>
                <w:rFonts w:ascii="Arial" w:cs="Arial" w:eastAsia="Arial" w:hAnsi="Arial"/>
                <w:sz w:val="18"/>
                <w:szCs w:val="18"/>
                <w:color w:val="auto"/>
                <w:w w:val="98"/>
              </w:rPr>
              <w:t>Director</w:t>
            </w:r>
          </w:p>
        </w:tc>
        <w:tc>
          <w:tcPr>
            <w:tcW w:w="176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March 29, 2021</w:t>
            </w:r>
          </w:p>
        </w:tc>
      </w:tr>
      <w:tr>
        <w:trPr>
          <w:trHeight w:val="210"/>
        </w:trPr>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3"/>
          </w:tcPr>
          <w:p>
            <w:pPr>
              <w:jc w:val="center"/>
              <w:ind w:right="1660"/>
              <w:spacing w:after="0"/>
              <w:rPr>
                <w:sz w:val="20"/>
                <w:szCs w:val="20"/>
                <w:color w:val="auto"/>
              </w:rPr>
            </w:pPr>
            <w:r>
              <w:rPr>
                <w:rFonts w:ascii="Arial" w:cs="Arial" w:eastAsia="Arial" w:hAnsi="Arial"/>
                <w:sz w:val="18"/>
                <w:szCs w:val="18"/>
                <w:color w:val="auto"/>
                <w:w w:val="99"/>
              </w:rPr>
              <w:t>Andrew Powell, J.D.</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37"/>
        </w:trPr>
        <w:tc>
          <w:tcPr>
            <w:tcW w:w="1660" w:type="dxa"/>
            <w:vAlign w:val="bottom"/>
            <w:tcBorders>
              <w:bottom w:val="single" w:sz="8" w:color="auto"/>
            </w:tcBorders>
            <w:gridSpan w:val="2"/>
          </w:tcPr>
          <w:p>
            <w:pPr>
              <w:ind w:left="126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9"/>
              </w:rPr>
              <w:t>Jonathan Root, M.D.</w:t>
            </w:r>
          </w:p>
        </w:tc>
        <w:tc>
          <w:tcPr>
            <w:tcW w:w="3980" w:type="dxa"/>
            <w:vAlign w:val="bottom"/>
            <w:gridSpan w:val="3"/>
          </w:tcPr>
          <w:p>
            <w:pPr>
              <w:jc w:val="center"/>
              <w:ind w:left="30"/>
              <w:spacing w:after="0"/>
              <w:rPr>
                <w:sz w:val="20"/>
                <w:szCs w:val="20"/>
                <w:color w:val="auto"/>
              </w:rPr>
            </w:pPr>
            <w:r>
              <w:rPr>
                <w:rFonts w:ascii="Arial" w:cs="Arial" w:eastAsia="Arial" w:hAnsi="Arial"/>
                <w:sz w:val="18"/>
                <w:szCs w:val="18"/>
                <w:color w:val="auto"/>
                <w:w w:val="98"/>
              </w:rPr>
              <w:t>Director</w:t>
            </w:r>
          </w:p>
        </w:tc>
        <w:tc>
          <w:tcPr>
            <w:tcW w:w="176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March 29, 2021</w:t>
            </w:r>
          </w:p>
        </w:tc>
      </w:tr>
      <w:tr>
        <w:trPr>
          <w:trHeight w:val="210"/>
        </w:trPr>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3"/>
          </w:tcPr>
          <w:p>
            <w:pPr>
              <w:jc w:val="center"/>
              <w:ind w:right="1660"/>
              <w:spacing w:after="0"/>
              <w:rPr>
                <w:sz w:val="20"/>
                <w:szCs w:val="20"/>
                <w:color w:val="auto"/>
              </w:rPr>
            </w:pPr>
            <w:r>
              <w:rPr>
                <w:rFonts w:ascii="Arial" w:cs="Arial" w:eastAsia="Arial" w:hAnsi="Arial"/>
                <w:sz w:val="18"/>
                <w:szCs w:val="18"/>
                <w:color w:val="auto"/>
                <w:w w:val="99"/>
              </w:rPr>
              <w:t>Jonathan Root, M.D.</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37"/>
        </w:trPr>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gridSpan w:val="4"/>
          </w:tcPr>
          <w:p>
            <w:pPr>
              <w:jc w:val="center"/>
              <w:ind w:right="1420"/>
              <w:spacing w:after="0"/>
              <w:rPr>
                <w:sz w:val="20"/>
                <w:szCs w:val="20"/>
                <w:color w:val="auto"/>
              </w:rPr>
            </w:pPr>
            <w:r>
              <w:rPr>
                <w:rFonts w:ascii="Arial" w:cs="Arial" w:eastAsia="Arial" w:hAnsi="Arial"/>
                <w:sz w:val="18"/>
                <w:szCs w:val="18"/>
                <w:color w:val="auto"/>
                <w:w w:val="99"/>
              </w:rPr>
              <w:t>Thilo Schroeder, Ph.D.</w:t>
            </w:r>
          </w:p>
        </w:tc>
        <w:tc>
          <w:tcPr>
            <w:tcW w:w="3980" w:type="dxa"/>
            <w:vAlign w:val="bottom"/>
            <w:gridSpan w:val="3"/>
          </w:tcPr>
          <w:p>
            <w:pPr>
              <w:jc w:val="center"/>
              <w:ind w:left="30"/>
              <w:spacing w:after="0"/>
              <w:rPr>
                <w:sz w:val="20"/>
                <w:szCs w:val="20"/>
                <w:color w:val="auto"/>
              </w:rPr>
            </w:pPr>
            <w:r>
              <w:rPr>
                <w:rFonts w:ascii="Arial" w:cs="Arial" w:eastAsia="Arial" w:hAnsi="Arial"/>
                <w:sz w:val="18"/>
                <w:szCs w:val="18"/>
                <w:color w:val="auto"/>
                <w:w w:val="98"/>
              </w:rPr>
              <w:t>Director</w:t>
            </w:r>
          </w:p>
        </w:tc>
        <w:tc>
          <w:tcPr>
            <w:tcW w:w="176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March 29, 2021</w:t>
            </w:r>
          </w:p>
        </w:tc>
      </w:tr>
      <w:tr>
        <w:trPr>
          <w:trHeight w:val="210"/>
        </w:trPr>
        <w:tc>
          <w:tcPr>
            <w:tcW w:w="1400" w:type="dxa"/>
            <w:vAlign w:val="bottom"/>
          </w:tcPr>
          <w:p>
            <w:pPr>
              <w:spacing w:after="0"/>
              <w:rPr>
                <w:sz w:val="18"/>
                <w:szCs w:val="18"/>
                <w:color w:val="auto"/>
              </w:rPr>
            </w:pPr>
          </w:p>
        </w:tc>
        <w:tc>
          <w:tcPr>
            <w:tcW w:w="3560" w:type="dxa"/>
            <w:vAlign w:val="bottom"/>
            <w:gridSpan w:val="4"/>
          </w:tcPr>
          <w:p>
            <w:pPr>
              <w:jc w:val="center"/>
              <w:ind w:right="1400"/>
              <w:spacing w:after="0"/>
              <w:rPr>
                <w:sz w:val="20"/>
                <w:szCs w:val="20"/>
                <w:color w:val="auto"/>
              </w:rPr>
            </w:pPr>
            <w:r>
              <w:rPr>
                <w:rFonts w:ascii="Arial" w:cs="Arial" w:eastAsia="Arial" w:hAnsi="Arial"/>
                <w:sz w:val="18"/>
                <w:szCs w:val="18"/>
                <w:color w:val="auto"/>
                <w:w w:val="98"/>
              </w:rPr>
              <w:t>Thilo Schroeder, Ph.D.</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37"/>
        </w:trPr>
        <w:tc>
          <w:tcPr>
            <w:tcW w:w="14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gridSpan w:val="4"/>
          </w:tcPr>
          <w:p>
            <w:pPr>
              <w:jc w:val="center"/>
              <w:ind w:right="1420"/>
              <w:spacing w:after="0"/>
              <w:rPr>
                <w:sz w:val="20"/>
                <w:szCs w:val="20"/>
                <w:color w:val="auto"/>
              </w:rPr>
            </w:pPr>
            <w:r>
              <w:rPr>
                <w:rFonts w:ascii="Arial" w:cs="Arial" w:eastAsia="Arial" w:hAnsi="Arial"/>
                <w:sz w:val="18"/>
                <w:szCs w:val="18"/>
                <w:color w:val="auto"/>
                <w:w w:val="99"/>
              </w:rPr>
              <w:t>Maria Koehler, M.D., Ph.D.</w:t>
            </w:r>
          </w:p>
        </w:tc>
        <w:tc>
          <w:tcPr>
            <w:tcW w:w="3980" w:type="dxa"/>
            <w:vAlign w:val="bottom"/>
            <w:gridSpan w:val="3"/>
          </w:tcPr>
          <w:p>
            <w:pPr>
              <w:jc w:val="center"/>
              <w:ind w:left="30"/>
              <w:spacing w:after="0"/>
              <w:rPr>
                <w:sz w:val="20"/>
                <w:szCs w:val="20"/>
                <w:color w:val="auto"/>
              </w:rPr>
            </w:pPr>
            <w:r>
              <w:rPr>
                <w:rFonts w:ascii="Arial" w:cs="Arial" w:eastAsia="Arial" w:hAnsi="Arial"/>
                <w:sz w:val="18"/>
                <w:szCs w:val="18"/>
                <w:color w:val="auto"/>
                <w:w w:val="98"/>
              </w:rPr>
              <w:t>Director</w:t>
            </w:r>
          </w:p>
        </w:tc>
        <w:tc>
          <w:tcPr>
            <w:tcW w:w="176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March 29, 2021</w:t>
            </w:r>
          </w:p>
        </w:tc>
      </w:tr>
      <w:tr>
        <w:trPr>
          <w:trHeight w:val="210"/>
        </w:trPr>
        <w:tc>
          <w:tcPr>
            <w:tcW w:w="1400" w:type="dxa"/>
            <w:vAlign w:val="bottom"/>
          </w:tcPr>
          <w:p>
            <w:pPr>
              <w:spacing w:after="0"/>
              <w:rPr>
                <w:sz w:val="18"/>
                <w:szCs w:val="18"/>
                <w:color w:val="auto"/>
              </w:rPr>
            </w:pPr>
          </w:p>
        </w:tc>
        <w:tc>
          <w:tcPr>
            <w:tcW w:w="3560" w:type="dxa"/>
            <w:vAlign w:val="bottom"/>
            <w:gridSpan w:val="4"/>
          </w:tcPr>
          <w:p>
            <w:pPr>
              <w:jc w:val="center"/>
              <w:ind w:right="1380"/>
              <w:spacing w:after="0"/>
              <w:rPr>
                <w:sz w:val="20"/>
                <w:szCs w:val="20"/>
                <w:color w:val="auto"/>
              </w:rPr>
            </w:pPr>
            <w:r>
              <w:rPr>
                <w:rFonts w:ascii="Arial" w:cs="Arial" w:eastAsia="Arial" w:hAnsi="Arial"/>
                <w:sz w:val="18"/>
                <w:szCs w:val="18"/>
                <w:color w:val="auto"/>
                <w:w w:val="99"/>
              </w:rPr>
              <w:t>Maria Koehler, M.D., Ph.D.</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64"/>
        </w:trPr>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00" w:type="dxa"/>
            <w:vAlign w:val="bottom"/>
          </w:tcPr>
          <w:p>
            <w:pPr>
              <w:jc w:val="right"/>
              <w:ind w:right="1110"/>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following summary description of the common stock of Silverback Therapeutics, Inc. (we, our or us) is based on the provisions of our amended and restated certificate of incorporation, as well as our amended and restated bylaws, and the applicable provisions of the Delaware General Corporation Law. This information is qualified entirely by reference to the applicable provisions of our amended and restated certificate of incorporation, amended and restated bylaws, and the Delaware General Corporation Law. Our amended and restated certificate of incorporation and amended and restated bylaws have previously been filed as exhibits with the Securities and Exchange Commission.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The affirmative vote of holders of at least 66 2/3%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structure of our board of directors, the size of our board of directors, removal of directors, director liability, vacancies on our board of directors, special meetings, stockholder notices, actions by written consent and exclusive jurisdiction.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Subject to preferences that may apply to any outstanding preferred stock, holders of our common stock are entitled to receive ratably any dividends that our board of directors may declare out of funds legally available for that purpose on a non-cumulative basis.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269" w:lineRule="exact"/>
        <w:rPr>
          <w:sz w:val="20"/>
          <w:szCs w:val="20"/>
          <w:color w:val="auto"/>
        </w:rPr>
      </w:pPr>
    </w:p>
    <w:p>
      <w:pPr>
        <w:ind w:right="240"/>
        <w:spacing w:after="0" w:line="378" w:lineRule="auto"/>
        <w:rPr>
          <w:sz w:val="20"/>
          <w:szCs w:val="20"/>
          <w:color w:val="auto"/>
        </w:rPr>
      </w:pPr>
      <w:r>
        <w:rPr>
          <w:rFonts w:ascii="Arial" w:cs="Arial" w:eastAsia="Arial" w:hAnsi="Arial"/>
          <w:sz w:val="18"/>
          <w:szCs w:val="18"/>
          <w:b w:val="1"/>
          <w:bCs w:val="1"/>
          <w:color w:val="auto"/>
        </w:rPr>
        <w:t xml:space="preserve">Anti-Takeover Provisions of Delaware Law and Our Amended and Restated Certificate of Incorporation and Amended and Restated Bylaws </w:t>
      </w:r>
      <w:r>
        <w:rPr>
          <w:rFonts w:ascii="Arial" w:cs="Arial" w:eastAsia="Arial" w:hAnsi="Arial"/>
          <w:sz w:val="18"/>
          <w:szCs w:val="18"/>
          <w:b w:val="1"/>
          <w:bCs w:val="1"/>
          <w:i w:val="1"/>
          <w:iCs w:val="1"/>
          <w:color w:val="auto"/>
        </w:rPr>
        <w:t>Section 203 of the Delaware General Corporation Law</w:t>
      </w:r>
    </w:p>
    <w:p>
      <w:pPr>
        <w:ind w:right="260"/>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960" w:right="200" w:hanging="424"/>
        <w:spacing w:after="0" w:line="277"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ectPr>
          <w:pgSz w:w="11900" w:h="16838" w:orient="portrait"/>
          <w:cols w:equalWidth="0" w:num="1">
            <w:col w:w="11020"/>
          </w:cols>
          <w:pgMar w:left="440" w:top="121" w:right="439" w:bottom="1440" w:gutter="0" w:footer="0" w:header="0"/>
        </w:sectPr>
      </w:pPr>
    </w:p>
    <w:bookmarkStart w:id="175" w:name="page176"/>
    <w:bookmarkEnd w:id="175"/>
    <w:p>
      <w:pPr>
        <w:ind w:left="960" w:right="40" w:hanging="424"/>
        <w:spacing w:after="0" w:line="275" w:lineRule="auto"/>
        <w:tabs>
          <w:tab w:leader="none" w:pos="960" w:val="left"/>
        </w:tabs>
        <w:numPr>
          <w:ilvl w:val="0"/>
          <w:numId w:val="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1" w:lineRule="exact"/>
        <w:rPr>
          <w:rFonts w:ascii="Arial" w:cs="Arial" w:eastAsia="Arial" w:hAnsi="Arial"/>
          <w:sz w:val="17"/>
          <w:szCs w:val="17"/>
          <w:color w:val="auto"/>
        </w:rPr>
      </w:pPr>
    </w:p>
    <w:p>
      <w:pPr>
        <w:ind w:left="960" w:right="120" w:hanging="424"/>
        <w:spacing w:after="0" w:line="263"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 the following:</w:t>
      </w:r>
    </w:p>
    <w:p>
      <w:pPr>
        <w:spacing w:after="0" w:line="131" w:lineRule="exact"/>
        <w:rPr>
          <w:sz w:val="20"/>
          <w:szCs w:val="20"/>
          <w:color w:val="auto"/>
        </w:rPr>
      </w:pPr>
    </w:p>
    <w:p>
      <w:pPr>
        <w:ind w:left="960" w:hanging="424"/>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960" w:hanging="424"/>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75"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131" w:lineRule="exact"/>
        <w:rPr>
          <w:sz w:val="20"/>
          <w:szCs w:val="20"/>
          <w:color w:val="auto"/>
        </w:rPr>
      </w:pPr>
    </w:p>
    <w:p>
      <w:pPr>
        <w:ind w:left="960" w:right="220" w:hanging="424"/>
        <w:spacing w:after="0" w:line="277"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permit our board of directors to issue up to 10,000,000 shares of preferred stock, with any rights, preferences and privileges as they may designate, including the right to approve an acquisition or other change in control;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w:t>
      </w:r>
    </w:p>
    <w:p>
      <w:pPr>
        <w:spacing w:after="0" w:line="130" w:lineRule="exact"/>
        <w:rPr>
          <w:rFonts w:ascii="Arial" w:cs="Arial" w:eastAsia="Arial" w:hAnsi="Arial"/>
          <w:sz w:val="18"/>
          <w:szCs w:val="18"/>
          <w:color w:val="auto"/>
        </w:rPr>
      </w:pPr>
    </w:p>
    <w:p>
      <w:pPr>
        <w:ind w:left="960" w:right="380" w:hanging="424"/>
        <w:spacing w:after="0" w:line="263"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ectPr>
          <w:pgSz w:w="11900" w:h="16838" w:orient="portrait"/>
          <w:cols w:equalWidth="0" w:num="1">
            <w:col w:w="11000"/>
          </w:cols>
          <w:pgMar w:left="440" w:top="274" w:right="459" w:bottom="1440" w:gutter="0" w:footer="0" w:header="0"/>
        </w:sectPr>
      </w:pPr>
    </w:p>
    <w:bookmarkStart w:id="176" w:name="page177"/>
    <w:bookmarkEnd w:id="176"/>
    <w:p>
      <w:pPr>
        <w:ind w:left="960" w:right="340" w:hanging="424"/>
        <w:spacing w:after="0" w:line="277"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75" w:lineRule="exact"/>
        <w:rPr>
          <w:rFonts w:ascii="Arial" w:cs="Arial" w:eastAsia="Arial" w:hAnsi="Arial"/>
          <w:sz w:val="18"/>
          <w:szCs w:val="18"/>
          <w:color w:val="auto"/>
        </w:rPr>
      </w:pPr>
    </w:p>
    <w:p>
      <w:pPr>
        <w:ind w:left="960" w:right="100" w:hanging="424"/>
        <w:spacing w:after="0" w:line="263"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jc w:val="both"/>
        <w:ind w:left="960" w:right="80" w:hanging="424"/>
        <w:spacing w:after="0" w:line="263"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chairman of our board of directors, our chief executive officer or president or by our board of directors pursuant to a resolution adopted by a majority of the total number of authorized directors, and not by our stockholders; and</w:t>
      </w:r>
    </w:p>
    <w:p>
      <w:pPr>
        <w:spacing w:after="0" w:line="89"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amendment of any of these provisions would require approval by the holders of at least 662/3% of the voting power of all of our then-outstanding common stock entitled to vote generally in the election of directors, voting together as a single class.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certificate of incorporation or our bylaws; (iv) any action or proceeding to interpret, apply, enforce or determine the validity of our certificate</w:t>
      </w:r>
    </w:p>
    <w:p>
      <w:pPr>
        <w:sectPr>
          <w:pgSz w:w="11900" w:h="16838" w:orient="portrait"/>
          <w:cols w:equalWidth="0" w:num="1">
            <w:col w:w="11000"/>
          </w:cols>
          <w:pgMar w:left="440" w:top="274" w:right="459" w:bottom="1440" w:gutter="0" w:footer="0" w:header="0"/>
        </w:sectPr>
      </w:pPr>
    </w:p>
    <w:bookmarkStart w:id="177" w:name="page178"/>
    <w:bookmarkEnd w:id="177"/>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incorporation or our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This provision will not apply to suits brought to enforce a duty or liability created by the Securities Act of 1933, as amended, the Securities Exchange Act of 1934, as amended, or any other claim for which the U.S. federal courts have exclusive jurisdiction.</w:t>
      </w:r>
    </w:p>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our amended 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of 1933, as amended.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2" w:lineRule="exact"/>
        <w:rPr>
          <w:sz w:val="20"/>
          <w:szCs w:val="20"/>
          <w:color w:val="auto"/>
        </w:rPr>
      </w:pPr>
    </w:p>
    <w:p>
      <w:pPr>
        <w:ind w:right="480"/>
        <w:spacing w:after="0" w:line="302" w:lineRule="auto"/>
        <w:rPr>
          <w:sz w:val="20"/>
          <w:szCs w:val="20"/>
          <w:color w:val="auto"/>
        </w:rPr>
      </w:pPr>
      <w:r>
        <w:rPr>
          <w:rFonts w:ascii="Arial" w:cs="Arial" w:eastAsia="Arial" w:hAnsi="Arial"/>
          <w:sz w:val="16"/>
          <w:szCs w:val="16"/>
          <w:color w:val="auto"/>
        </w:rPr>
        <w:t>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trading symbol “SBTX.”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agent’s address is 6201 15th Avenue, Brooklyn, New York 11219, and its telephone number is (800) 937-5449.</w:t>
      </w:r>
    </w:p>
    <w:p>
      <w:pPr>
        <w:sectPr>
          <w:pgSz w:w="11900" w:h="16838" w:orient="portrait"/>
          <w:cols w:equalWidth="0" w:num="1">
            <w:col w:w="10980"/>
          </w:cols>
          <w:pgMar w:left="440" w:top="274" w:right="47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10.16</w:t>
      </w:r>
    </w:p>
    <w:p>
      <w:pPr>
        <w:spacing w:after="0" w:line="117" w:lineRule="exact"/>
        <w:rPr>
          <w:sz w:val="20"/>
          <w:szCs w:val="20"/>
          <w:color w:val="auto"/>
        </w:rPr>
      </w:pPr>
    </w:p>
    <w:p>
      <w:pPr>
        <w:jc w:val="right"/>
        <w:ind w:left="4204"/>
        <w:spacing w:after="0" w:line="266" w:lineRule="auto"/>
        <w:rPr>
          <w:sz w:val="20"/>
          <w:szCs w:val="20"/>
          <w:color w:val="auto"/>
        </w:rPr>
      </w:pPr>
      <w:r>
        <w:rPr>
          <w:rFonts w:ascii="Arial" w:cs="Arial" w:eastAsia="Arial" w:hAnsi="Arial"/>
          <w:sz w:val="18"/>
          <w:szCs w:val="18"/>
          <w:b w:val="1"/>
          <w:bCs w:val="1"/>
          <w:color w:val="auto"/>
        </w:rPr>
        <w:t>CERTAIN INFORMATION CONTAINED IN THIS DOCUMENT, MARKED BY [***], HAS BEEN OMITTED BECAUSE IT IS BOTH NOT MATERIAL AND IS THE TYPE THAT THE REGISTRANT TREATS AS PRIVATE OR CONFIDENTIAL.</w:t>
      </w:r>
    </w:p>
    <w:p>
      <w:pPr>
        <w:spacing w:after="0" w:line="17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AMENDMENT NO. 1 TO CELL LINE LICENSE AGREEMENT</w:t>
      </w:r>
    </w:p>
    <w:p>
      <w:pPr>
        <w:spacing w:after="0" w:line="229" w:lineRule="exact"/>
        <w:rPr>
          <w:sz w:val="20"/>
          <w:szCs w:val="20"/>
          <w:color w:val="auto"/>
        </w:rPr>
      </w:pPr>
    </w:p>
    <w:p>
      <w:pPr>
        <w:ind w:left="4" w:right="140" w:firstLine="991"/>
        <w:spacing w:after="0" w:line="257" w:lineRule="auto"/>
        <w:rPr>
          <w:sz w:val="20"/>
          <w:szCs w:val="20"/>
          <w:color w:val="auto"/>
        </w:rPr>
      </w:pPr>
      <w:r>
        <w:rPr>
          <w:rFonts w:ascii="Arial" w:cs="Arial" w:eastAsia="Arial" w:hAnsi="Arial"/>
          <w:sz w:val="18"/>
          <w:szCs w:val="18"/>
          <w:color w:val="auto"/>
        </w:rPr>
        <w:t>This Amendment No. 1 (this “Amendment”) is entered into between Silverback Therapeutics, Inc. (“Licensee”) and WuXi Biologics (Hong Kong) Limited (“WuXi Biologics”), effective as of the date of the last signature hereto, and amends, as set forth herein, the Cell Line License Agreement (the “CLLA”), effective as of 11 October, 2019 entered into between Licensee and WuXi Biologics. Each of WuXi Biologics and Licensee are referred to from time to time as a “Party” and collectively as the “Parties”. All terms used, but not otherwise defined, in this Amendment shall have the meanings accorded to them in the CLLA.</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 The Parties hereby agree to amend the Appendix I pursuant to Section 1.2 of the CLLA as follows:</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List of Service Agreements for Licensee Products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Licensee</w:t>
            </w:r>
          </w:p>
        </w:tc>
        <w:tc>
          <w:tcPr>
            <w:tcW w:w="3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Contract(e.g.,MasterService</w:t>
            </w:r>
          </w:p>
        </w:tc>
        <w:tc>
          <w:tcPr>
            <w:tcW w:w="3420" w:type="dxa"/>
            <w:vAlign w:val="bottom"/>
            <w:vMerge w:val="restart"/>
          </w:tcPr>
          <w:p>
            <w:pPr>
              <w:jc w:val="right"/>
              <w:ind w:right="1196"/>
              <w:spacing w:after="0"/>
              <w:rPr>
                <w:sz w:val="20"/>
                <w:szCs w:val="20"/>
                <w:color w:val="auto"/>
              </w:rPr>
            </w:pPr>
            <w:r>
              <w:rPr>
                <w:rFonts w:ascii="Arial" w:cs="Arial" w:eastAsia="Arial" w:hAnsi="Arial"/>
                <w:sz w:val="14"/>
                <w:szCs w:val="14"/>
                <w:b w:val="1"/>
                <w:bCs w:val="1"/>
                <w:color w:val="auto"/>
              </w:rPr>
              <w:t>Effective Date</w:t>
            </w:r>
          </w:p>
        </w:tc>
        <w:tc>
          <w:tcPr>
            <w:tcW w:w="0" w:type="dxa"/>
            <w:vAlign w:val="bottom"/>
          </w:tcPr>
          <w:p>
            <w:pPr>
              <w:spacing w:after="0"/>
              <w:rPr>
                <w:sz w:val="1"/>
                <w:szCs w:val="1"/>
                <w:color w:val="auto"/>
              </w:rPr>
            </w:pPr>
          </w:p>
        </w:tc>
      </w:tr>
      <w:tr>
        <w:trPr>
          <w:trHeight w:val="185"/>
        </w:trPr>
        <w:tc>
          <w:tcPr>
            <w:tcW w:w="460" w:type="dxa"/>
            <w:vAlign w:val="bottom"/>
            <w:vMerge w:val="restart"/>
          </w:tcPr>
          <w:p>
            <w:pPr>
              <w:jc w:val="right"/>
              <w:ind w:right="307"/>
              <w:spacing w:after="0"/>
              <w:rPr>
                <w:sz w:val="20"/>
                <w:szCs w:val="20"/>
                <w:color w:val="auto"/>
              </w:rPr>
            </w:pPr>
            <w:r>
              <w:rPr>
                <w:rFonts w:ascii="Arial" w:cs="Arial" w:eastAsia="Arial" w:hAnsi="Arial"/>
                <w:sz w:val="15"/>
                <w:szCs w:val="15"/>
                <w:color w:val="auto"/>
                <w:w w:val="71"/>
              </w:rPr>
              <w:t>1</w:t>
            </w:r>
          </w:p>
        </w:tc>
        <w:tc>
          <w:tcPr>
            <w:tcW w:w="3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Product Name</w:t>
            </w:r>
          </w:p>
        </w:tc>
        <w:tc>
          <w:tcPr>
            <w:tcW w:w="3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Agreements)</w:t>
            </w: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0" w:type="dxa"/>
            <w:vAlign w:val="bottom"/>
            <w:vMerge w:val="continue"/>
          </w:tcPr>
          <w:p>
            <w:pPr>
              <w:spacing w:after="0"/>
              <w:rPr>
                <w:sz w:val="16"/>
                <w:szCs w:val="16"/>
                <w:color w:val="auto"/>
              </w:rPr>
            </w:pPr>
          </w:p>
        </w:tc>
        <w:tc>
          <w:tcPr>
            <w:tcW w:w="3540" w:type="dxa"/>
            <w:vAlign w:val="bottom"/>
            <w:tcBorders>
              <w:top w:val="single" w:sz="8" w:color="auto"/>
            </w:tcBorders>
          </w:tcPr>
          <w:p>
            <w:pPr>
              <w:jc w:val="right"/>
              <w:ind w:right="3079"/>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3400" w:type="dxa"/>
            <w:vAlign w:val="bottom"/>
            <w:tcBorders>
              <w:top w:val="single" w:sz="8" w:color="auto"/>
            </w:tcBorders>
          </w:tcPr>
          <w:p>
            <w:pPr>
              <w:jc w:val="right"/>
              <w:ind w:right="2939"/>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right"/>
              <w:ind w:right="2936"/>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2</w:t>
            </w:r>
          </w:p>
        </w:tc>
        <w:tc>
          <w:tcPr>
            <w:tcW w:w="3540" w:type="dxa"/>
            <w:vAlign w:val="bottom"/>
          </w:tcPr>
          <w:p>
            <w:pPr>
              <w:jc w:val="right"/>
              <w:ind w:right="30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0" w:type="dxa"/>
            <w:vAlign w:val="bottom"/>
          </w:tcPr>
          <w:p>
            <w:pPr>
              <w:jc w:val="right"/>
              <w:ind w:right="29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20" w:type="dxa"/>
            <w:vAlign w:val="bottom"/>
          </w:tcPr>
          <w:p>
            <w:pPr>
              <w:jc w:val="right"/>
              <w:ind w:right="29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3</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4</w:t>
            </w: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4" w:hanging="424"/>
        <w:spacing w:after="0"/>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u w:val="single" w:color="auto"/>
          <w:color w:val="auto"/>
        </w:rPr>
        <w:t>2.1    Ratification of Agreement</w:t>
      </w:r>
      <w:r>
        <w:rPr>
          <w:rFonts w:ascii="Arial" w:cs="Arial" w:eastAsia="Arial" w:hAnsi="Arial"/>
          <w:sz w:val="18"/>
          <w:szCs w:val="18"/>
          <w:color w:val="auto"/>
        </w:rPr>
        <w:t>. The CLLA is in all respects ratified and confirmed by the Parties.</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u w:val="single" w:color="auto"/>
          <w:color w:val="auto"/>
        </w:rPr>
        <w:t>2.2    One Instrument</w:t>
      </w:r>
      <w:r>
        <w:rPr>
          <w:rFonts w:ascii="Arial" w:cs="Arial" w:eastAsia="Arial" w:hAnsi="Arial"/>
          <w:sz w:val="18"/>
          <w:szCs w:val="18"/>
          <w:color w:val="auto"/>
        </w:rPr>
        <w:t>. The CLLA and this Amendment shall be read, taken and construed as one and the same document.</w:t>
      </w:r>
    </w:p>
    <w:p>
      <w:pPr>
        <w:spacing w:after="0" w:line="130" w:lineRule="exact"/>
        <w:rPr>
          <w:rFonts w:ascii="Arial" w:cs="Arial" w:eastAsia="Arial" w:hAnsi="Arial"/>
          <w:sz w:val="18"/>
          <w:szCs w:val="18"/>
          <w:color w:val="auto"/>
        </w:rPr>
      </w:pPr>
    </w:p>
    <w:p>
      <w:pPr>
        <w:ind w:left="964" w:right="120" w:hanging="540"/>
        <w:spacing w:after="0" w:line="258" w:lineRule="auto"/>
        <w:rPr>
          <w:rFonts w:ascii="Arial" w:cs="Arial" w:eastAsia="Arial" w:hAnsi="Arial"/>
          <w:sz w:val="18"/>
          <w:szCs w:val="18"/>
          <w:color w:val="auto"/>
        </w:rPr>
      </w:pPr>
      <w:r>
        <w:rPr>
          <w:rFonts w:ascii="Arial" w:cs="Arial" w:eastAsia="Arial" w:hAnsi="Arial"/>
          <w:sz w:val="18"/>
          <w:szCs w:val="18"/>
          <w:u w:val="single" w:color="auto"/>
          <w:color w:val="auto"/>
        </w:rPr>
        <w:t>2.3 Counterpart Signatures</w:t>
      </w:r>
      <w:r>
        <w:rPr>
          <w:rFonts w:ascii="Arial" w:cs="Arial" w:eastAsia="Arial" w:hAnsi="Arial"/>
          <w:sz w:val="18"/>
          <w:szCs w:val="18"/>
          <w:color w:val="auto"/>
        </w:rPr>
        <w:t>. This Amendment may be signed by the Parties in multiple, separate counterparts which when taken together shall constitute one and the same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***Certain Information Omitted</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p>
      <w:pPr>
        <w:sectPr>
          <w:pgSz w:w="11900" w:h="16838" w:orient="portrait"/>
          <w:cols w:equalWidth="0" w:num="1">
            <w:col w:w="11024"/>
          </w:cols>
          <w:pgMar w:left="436" w:top="121" w:right="439" w:bottom="1440" w:gutter="0" w:footer="0" w:header="0"/>
        </w:sectPr>
      </w:pPr>
    </w:p>
    <w:bookmarkStart w:id="179" w:name="page180"/>
    <w:bookmarkEnd w:id="179"/>
    <w:p>
      <w:pPr>
        <w:ind w:left="142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 This Agreement may be signed by electronic signature via a recognized provider (e.g., DocuSign or Adobe) or “.pdf” file and such signature shall be deemed to bind each Party hereto as if they were original.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signed this Amendment through their duly authorized representatives.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WuXi Biologics (Hong Kong) Limited</w:t>
            </w:r>
          </w:p>
        </w:tc>
        <w:tc>
          <w:tcPr>
            <w:tcW w:w="5820" w:type="dxa"/>
            <w:vAlign w:val="bottom"/>
            <w:gridSpan w:val="2"/>
          </w:tcPr>
          <w:p>
            <w:pPr>
              <w:ind w:left="640"/>
              <w:spacing w:after="0"/>
              <w:rPr>
                <w:sz w:val="20"/>
                <w:szCs w:val="20"/>
                <w:color w:val="auto"/>
              </w:rPr>
            </w:pPr>
            <w:r>
              <w:rPr>
                <w:rFonts w:ascii="Arial" w:cs="Arial" w:eastAsia="Arial" w:hAnsi="Arial"/>
                <w:sz w:val="18"/>
                <w:szCs w:val="18"/>
                <w:b w:val="1"/>
                <w:bCs w:val="1"/>
                <w:color w:val="auto"/>
              </w:rPr>
              <w:t>Silverback Therapeutics, Inc.</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Signature:</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Chen</w:t>
            </w:r>
          </w:p>
        </w:tc>
        <w:tc>
          <w:tcPr>
            <w:tcW w:w="1620" w:type="dxa"/>
            <w:vAlign w:val="bottom"/>
          </w:tcPr>
          <w:p>
            <w:pPr>
              <w:ind w:left="640"/>
              <w:spacing w:after="0"/>
              <w:rPr>
                <w:sz w:val="20"/>
                <w:szCs w:val="20"/>
                <w:color w:val="auto"/>
              </w:rPr>
            </w:pPr>
            <w:r>
              <w:rPr>
                <w:rFonts w:ascii="Arial" w:cs="Arial" w:eastAsia="Arial" w:hAnsi="Arial"/>
                <w:sz w:val="18"/>
                <w:szCs w:val="18"/>
                <w:color w:val="auto"/>
              </w:rPr>
              <w:t>Signature:</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Pepe</w:t>
            </w:r>
          </w:p>
        </w:tc>
      </w:tr>
      <w:tr>
        <w:trPr>
          <w:trHeight w:val="439"/>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Chris Chen</w:t>
            </w:r>
          </w:p>
        </w:tc>
        <w:tc>
          <w:tcPr>
            <w:tcW w:w="1620" w:type="dxa"/>
            <w:vAlign w:val="bottom"/>
          </w:tcPr>
          <w:p>
            <w:pPr>
              <w:ind w:left="640"/>
              <w:spacing w:after="0"/>
              <w:rPr>
                <w:sz w:val="20"/>
                <w:szCs w:val="20"/>
                <w:color w:val="auto"/>
              </w:rPr>
            </w:pPr>
            <w:r>
              <w:rPr>
                <w:rFonts w:ascii="Arial" w:cs="Arial" w:eastAsia="Arial" w:hAnsi="Arial"/>
                <w:sz w:val="18"/>
                <w:szCs w:val="18"/>
                <w:color w:val="auto"/>
              </w:rPr>
              <w:t>Name:</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Jeffrey Pepe</w:t>
            </w:r>
          </w:p>
        </w:tc>
      </w:tr>
      <w:tr>
        <w:trPr>
          <w:trHeight w:val="439"/>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c>
          <w:tcPr>
            <w:tcW w:w="1620" w:type="dxa"/>
            <w:vAlign w:val="bottom"/>
          </w:tcPr>
          <w:p>
            <w:pPr>
              <w:ind w:left="640"/>
              <w:spacing w:after="0"/>
              <w:rPr>
                <w:sz w:val="20"/>
                <w:szCs w:val="20"/>
                <w:color w:val="auto"/>
              </w:rPr>
            </w:pPr>
            <w:r>
              <w:rPr>
                <w:rFonts w:ascii="Arial" w:cs="Arial" w:eastAsia="Arial" w:hAnsi="Arial"/>
                <w:sz w:val="18"/>
                <w:szCs w:val="18"/>
                <w:color w:val="auto"/>
              </w:rPr>
              <w:t>Title:</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Counsel</w:t>
            </w:r>
          </w:p>
        </w:tc>
      </w:tr>
      <w:tr>
        <w:trPr>
          <w:trHeight w:val="439"/>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1/12/2021</w:t>
            </w:r>
          </w:p>
        </w:tc>
        <w:tc>
          <w:tcPr>
            <w:tcW w:w="1620" w:type="dxa"/>
            <w:vAlign w:val="bottom"/>
          </w:tcPr>
          <w:p>
            <w:pPr>
              <w:ind w:left="640"/>
              <w:spacing w:after="0"/>
              <w:rPr>
                <w:sz w:val="20"/>
                <w:szCs w:val="20"/>
                <w:color w:val="auto"/>
              </w:rPr>
            </w:pPr>
            <w:r>
              <w:rPr>
                <w:rFonts w:ascii="Arial" w:cs="Arial" w:eastAsia="Arial" w:hAnsi="Arial"/>
                <w:sz w:val="18"/>
                <w:szCs w:val="18"/>
                <w:color w:val="auto"/>
              </w:rPr>
              <w:t>Date:</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1/12/2021</w:t>
            </w:r>
          </w:p>
        </w:tc>
      </w:tr>
    </w:tbl>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p>
      <w:pPr>
        <w:sectPr>
          <w:pgSz w:w="11900" w:h="16838" w:orient="portrait"/>
          <w:cols w:equalWidth="0" w:num="1">
            <w:col w:w="11020"/>
          </w:cols>
          <w:pgMar w:left="440" w:top="274" w:right="4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333-251143) pertaining to the 2020 Equity Incentive Plan, the 2020 Employee Stock Purchase Plan, and the 2016 Equity Incentive Plan, as amended, of Silverback Therapeutics, Inc. of our report dated March 29, 2021, with respect to the consolidated financial statements of Silverback Therapeutics, Inc., included in this Annual Report (Form 10-K) for the year ended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ectPr>
          <w:pgSz w:w="11900" w:h="16838" w:orient="portrait"/>
          <w:cols w:equalWidth="0" w:num="1">
            <w:col w:w="11020"/>
          </w:cols>
          <w:pgMar w:left="440" w:top="121" w:right="4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 Laura Shawver, certify that:</w:t>
      </w:r>
    </w:p>
    <w:p>
      <w:pPr>
        <w:spacing w:after="0" w:line="185" w:lineRule="exact"/>
        <w:rPr>
          <w:sz w:val="20"/>
          <w:szCs w:val="20"/>
          <w:color w:val="auto"/>
        </w:rPr>
      </w:pPr>
    </w:p>
    <w:p>
      <w:pPr>
        <w:ind w:left="504" w:hanging="504"/>
        <w:spacing w:after="0"/>
        <w:tabs>
          <w:tab w:leader="none" w:pos="504"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2020 of Silverback Therapeutics, Inc.;</w:t>
      </w:r>
    </w:p>
    <w:p>
      <w:pPr>
        <w:spacing w:after="0" w:line="184" w:lineRule="exact"/>
        <w:rPr>
          <w:rFonts w:ascii="Arial" w:cs="Arial" w:eastAsia="Arial" w:hAnsi="Arial"/>
          <w:sz w:val="18"/>
          <w:szCs w:val="18"/>
          <w:color w:val="auto"/>
        </w:rPr>
      </w:pPr>
    </w:p>
    <w:p>
      <w:pPr>
        <w:ind w:left="484" w:hanging="484"/>
        <w:spacing w:after="0"/>
        <w:tabs>
          <w:tab w:leader="none" w:pos="484"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my knowledge, this report does not contain any untrue statement of a material fact or omit to state a material fact necessary to make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6"/>
          <w:szCs w:val="16"/>
          <w:color w:val="auto"/>
        </w:rPr>
        <w:t>statements made, in light of the circumstances under which such statements were made, not misleading with respect to the period covered by this report;</w:t>
      </w:r>
    </w:p>
    <w:p>
      <w:pPr>
        <w:spacing w:after="0" w:line="206" w:lineRule="exact"/>
        <w:rPr>
          <w:rFonts w:ascii="Arial" w:cs="Arial" w:eastAsia="Arial" w:hAnsi="Arial"/>
          <w:sz w:val="17"/>
          <w:szCs w:val="17"/>
          <w:color w:val="auto"/>
        </w:rPr>
      </w:pPr>
    </w:p>
    <w:p>
      <w:pPr>
        <w:ind w:left="4" w:right="500" w:hanging="4"/>
        <w:spacing w:after="0" w:line="308" w:lineRule="auto"/>
        <w:tabs>
          <w:tab w:leader="none" w:pos="49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 w:right="60" w:hanging="4"/>
        <w:spacing w:after="0" w:line="277" w:lineRule="auto"/>
        <w:tabs>
          <w:tab w:leader="none" w:pos="4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left="444" w:right="140" w:hanging="4"/>
        <w:spacing w:after="0" w:line="263" w:lineRule="auto"/>
        <w:tabs>
          <w:tab w:leader="none" w:pos="689"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444" w:right="620" w:hanging="4"/>
        <w:spacing w:after="0" w:line="342" w:lineRule="auto"/>
        <w:tabs>
          <w:tab w:leader="none" w:pos="699"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444" w:right="80" w:hanging="4"/>
        <w:spacing w:after="0" w:line="263" w:lineRule="auto"/>
        <w:tabs>
          <w:tab w:leader="none" w:pos="689"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 w:right="20" w:hanging="4"/>
        <w:spacing w:after="0" w:line="342" w:lineRule="auto"/>
        <w:tabs>
          <w:tab w:leader="none" w:pos="496"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444" w:right="40" w:hanging="4"/>
        <w:spacing w:after="0" w:line="277" w:lineRule="auto"/>
        <w:tabs>
          <w:tab w:leader="none" w:pos="689"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444" w:right="540" w:hanging="4"/>
        <w:spacing w:after="0" w:line="277" w:lineRule="auto"/>
        <w:tabs>
          <w:tab w:leader="none" w:pos="699"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tabs>
          <w:tab w:leader="none" w:pos="5504" w:val="left"/>
          <w:tab w:leader="none" w:pos="7564"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Shawver,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Laura Shawver, Ph.D.</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024"/>
          </w:cols>
          <w:pgMar w:left="436" w:top="121" w:right="4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Jonathan Piazza, certify that:</w:t>
      </w:r>
    </w:p>
    <w:p>
      <w:pPr>
        <w:spacing w:after="0" w:line="185" w:lineRule="exact"/>
        <w:rPr>
          <w:sz w:val="20"/>
          <w:szCs w:val="20"/>
          <w:color w:val="auto"/>
        </w:rPr>
      </w:pPr>
    </w:p>
    <w:p>
      <w:pPr>
        <w:ind w:left="504" w:hanging="504"/>
        <w:spacing w:after="0"/>
        <w:tabs>
          <w:tab w:leader="none" w:pos="504"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2020 of Silverback Therapeutics, Inc.;</w:t>
      </w:r>
    </w:p>
    <w:p>
      <w:pPr>
        <w:spacing w:after="0" w:line="184" w:lineRule="exact"/>
        <w:rPr>
          <w:rFonts w:ascii="Arial" w:cs="Arial" w:eastAsia="Arial" w:hAnsi="Arial"/>
          <w:sz w:val="18"/>
          <w:szCs w:val="18"/>
          <w:color w:val="auto"/>
        </w:rPr>
      </w:pPr>
    </w:p>
    <w:p>
      <w:pPr>
        <w:ind w:left="484" w:hanging="484"/>
        <w:spacing w:after="0"/>
        <w:tabs>
          <w:tab w:leader="none" w:pos="484"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my knowledge, this report does not contain any untrue statement of a material fact or omit to state a material fact necessary to make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6"/>
          <w:szCs w:val="16"/>
          <w:color w:val="auto"/>
        </w:rPr>
        <w:t>statements made, in light of the circumstances under which such statements were made, not misleading with respect to the period covered by this report;</w:t>
      </w:r>
    </w:p>
    <w:p>
      <w:pPr>
        <w:spacing w:after="0" w:line="206" w:lineRule="exact"/>
        <w:rPr>
          <w:rFonts w:ascii="Arial" w:cs="Arial" w:eastAsia="Arial" w:hAnsi="Arial"/>
          <w:sz w:val="17"/>
          <w:szCs w:val="17"/>
          <w:color w:val="auto"/>
        </w:rPr>
      </w:pPr>
    </w:p>
    <w:p>
      <w:pPr>
        <w:ind w:left="4" w:right="280" w:hanging="4"/>
        <w:spacing w:after="0" w:line="308" w:lineRule="auto"/>
        <w:tabs>
          <w:tab w:leader="none" w:pos="496"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 w:right="60" w:hanging="4"/>
        <w:spacing w:after="0" w:line="277" w:lineRule="auto"/>
        <w:tabs>
          <w:tab w:leader="none" w:pos="4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left="444" w:right="140" w:hanging="4"/>
        <w:spacing w:after="0" w:line="263" w:lineRule="auto"/>
        <w:tabs>
          <w:tab w:leader="none" w:pos="689"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444" w:right="620" w:hanging="4"/>
        <w:spacing w:after="0" w:line="342" w:lineRule="auto"/>
        <w:tabs>
          <w:tab w:leader="none" w:pos="699"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444" w:right="80" w:hanging="4"/>
        <w:spacing w:after="0" w:line="263" w:lineRule="auto"/>
        <w:tabs>
          <w:tab w:leader="none" w:pos="689"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 w:right="20" w:hanging="4"/>
        <w:spacing w:after="0" w:line="342" w:lineRule="auto"/>
        <w:tabs>
          <w:tab w:leader="none" w:pos="496"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444" w:right="40" w:hanging="4"/>
        <w:spacing w:after="0" w:line="277" w:lineRule="auto"/>
        <w:tabs>
          <w:tab w:leader="none" w:pos="68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444" w:right="540" w:hanging="4"/>
        <w:spacing w:after="0" w:line="277" w:lineRule="auto"/>
        <w:tabs>
          <w:tab w:leader="none" w:pos="69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tabs>
          <w:tab w:leader="none" w:pos="5504" w:val="left"/>
          <w:tab w:leader="none" w:pos="7784"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Jonathan Piazza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Jonathan Piazza</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024"/>
          </w:cols>
          <w:pgMar w:left="436" w:top="121" w:right="4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PURSURANT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In connection with the Annual Report on Form 10-K of Silverback Therapeutics, Inc. (the “Company”) for the period ended December 31, 2020, to which this Certification is attached, as filed with the Securities and Exchange Commission on the date hereof (the “Report”), each of the undersigned officers of the Company herby certifies, pursuant to 18 U.S.C. Section 1350, as adopted pursuant to Section 906 of the Sarbanes-Oxley Act of 2002, that to their knowledge:</w:t>
      </w:r>
    </w:p>
    <w:p>
      <w:pPr>
        <w:spacing w:after="0" w:line="146" w:lineRule="exact"/>
        <w:rPr>
          <w:sz w:val="20"/>
          <w:szCs w:val="20"/>
          <w:color w:val="auto"/>
        </w:rPr>
      </w:pPr>
    </w:p>
    <w:p>
      <w:pPr>
        <w:ind w:left="920" w:hanging="484"/>
        <w:spacing w:after="0"/>
        <w:tabs>
          <w:tab w:leader="none" w:pos="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440" w:right="420" w:hanging="4"/>
        <w:spacing w:after="0" w:line="277" w:lineRule="auto"/>
        <w:tabs>
          <w:tab w:leader="none" w:pos="9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March 29, 2021</w:t>
            </w:r>
          </w:p>
        </w:tc>
        <w:tc>
          <w:tcPr>
            <w:tcW w:w="2400" w:type="dxa"/>
            <w:vAlign w:val="bottom"/>
          </w:tcPr>
          <w:p>
            <w:pPr>
              <w:ind w:left="19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Laura Shawver, Ph.D.</w:t>
            </w:r>
          </w:p>
        </w:tc>
      </w:tr>
      <w:tr>
        <w:trPr>
          <w:trHeight w:val="205"/>
        </w:trPr>
        <w:tc>
          <w:tcPr>
            <w:tcW w:w="3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080" w:type="dxa"/>
            <w:vAlign w:val="bottom"/>
          </w:tcPr>
          <w:p>
            <w:pPr>
              <w:jc w:val="center"/>
              <w:spacing w:after="0" w:line="205" w:lineRule="exact"/>
              <w:rPr>
                <w:sz w:val="20"/>
                <w:szCs w:val="20"/>
                <w:color w:val="auto"/>
              </w:rPr>
            </w:pPr>
            <w:r>
              <w:rPr>
                <w:rFonts w:ascii="Arial" w:cs="Arial" w:eastAsia="Arial" w:hAnsi="Arial"/>
                <w:sz w:val="18"/>
                <w:szCs w:val="18"/>
                <w:color w:val="auto"/>
                <w:w w:val="90"/>
              </w:rPr>
              <w:t>Laura Shawver, Ph.D.</w:t>
            </w:r>
          </w:p>
        </w:tc>
      </w:tr>
      <w:tr>
        <w:trPr>
          <w:trHeight w:val="220"/>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0"/>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March 29, 2021</w:t>
            </w:r>
          </w:p>
        </w:tc>
        <w:tc>
          <w:tcPr>
            <w:tcW w:w="2400" w:type="dxa"/>
            <w:vAlign w:val="bottom"/>
          </w:tcPr>
          <w:p>
            <w:pPr>
              <w:ind w:left="19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Jonathan Piazza</w:t>
            </w:r>
          </w:p>
        </w:tc>
      </w:tr>
      <w:tr>
        <w:trPr>
          <w:trHeight w:val="205"/>
        </w:trPr>
        <w:tc>
          <w:tcPr>
            <w:tcW w:w="3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080" w:type="dxa"/>
            <w:vAlign w:val="bottom"/>
          </w:tcPr>
          <w:p>
            <w:pPr>
              <w:jc w:val="center"/>
              <w:spacing w:after="0" w:line="205" w:lineRule="exact"/>
              <w:rPr>
                <w:sz w:val="20"/>
                <w:szCs w:val="20"/>
                <w:color w:val="auto"/>
              </w:rPr>
            </w:pPr>
            <w:r>
              <w:rPr>
                <w:rFonts w:ascii="Arial" w:cs="Arial" w:eastAsia="Arial" w:hAnsi="Arial"/>
                <w:sz w:val="18"/>
                <w:szCs w:val="18"/>
                <w:color w:val="auto"/>
                <w:w w:val="87"/>
              </w:rPr>
              <w:t>Jonathan Piazza</w:t>
            </w:r>
          </w:p>
        </w:tc>
      </w:tr>
      <w:tr>
        <w:trPr>
          <w:trHeight w:val="220"/>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283"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1)"/>
      <w:numFmt w:val="upperLetter"/>
      <w:start w:val="1"/>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decimal"/>
      <w:start w:val="4"/>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1."/>
      <w:numFmt w:val="decimal"/>
      <w:start w:val="2"/>
    </w:lvl>
  </w:abstractNum>
  <w:abstractNum w:abstractNumId="68">
    <w:nsid w:val="BF72B14"/>
    <w:multiLevelType w:val="hybridMultilevel"/>
    <w:lvl w:ilvl="0">
      <w:lvlJc w:val="left"/>
      <w:lvlText w:val="%1."/>
      <w:numFmt w:val="decimal"/>
      <w:start w:val="7"/>
    </w:lvl>
  </w:abstractNum>
  <w:abstractNum w:abstractNumId="69">
    <w:nsid w:val="11447B73"/>
    <w:multiLevelType w:val="hybridMultilevel"/>
    <w:lvl w:ilvl="0">
      <w:lvlJc w:val="left"/>
      <w:lvlText w:val="%1."/>
      <w:numFmt w:val="decimal"/>
      <w:start w:val="8"/>
    </w:lvl>
  </w:abstractNum>
  <w:abstractNum w:abstractNumId="70">
    <w:nsid w:val="42963E5A"/>
    <w:multiLevelType w:val="hybridMultilevel"/>
    <w:lvl w:ilvl="0">
      <w:lvlJc w:val="left"/>
      <w:lvlText w:val="%1."/>
      <w:numFmt w:val="decimal"/>
      <w:start w:val="12"/>
    </w:lvl>
  </w:abstractNum>
  <w:abstractNum w:abstractNumId="71">
    <w:nsid w:val="A0382C5"/>
    <w:multiLevelType w:val="hybridMultilevel"/>
    <w:lvl w:ilvl="0">
      <w:lvlJc w:val="left"/>
      <w:lvlText w:val="(%1)"/>
      <w:numFmt w:val="lowerLetter"/>
      <w:start w:val="1"/>
    </w:lvl>
    <w:lvl w:ilvl="1">
      <w:lvlJc w:val="left"/>
      <w:lvlText w:val="(%2)"/>
      <w:numFmt w:val="decimal"/>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1."/>
      <w:numFmt w:val="decimal"/>
      <w:start w:val="2"/>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31" Type="http://schemas.openxmlformats.org/officeDocument/2006/relationships/image" Target="media/image218.png"/><Relationship Id="rId244"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25" Type="http://schemas.openxmlformats.org/officeDocument/2006/relationships/hyperlink" Target="http://www.sec.gov/Archives/edgar/data/1671858/000119312520312895/d66270dex31.htm" TargetMode="External"/><Relationship Id="rId226" Type="http://schemas.openxmlformats.org/officeDocument/2006/relationships/hyperlink" Target="http://www.sec.gov/Archives/edgar/data/1671858/000119312520312895/d66270dex32.htm" TargetMode="External"/><Relationship Id="rId227" Type="http://schemas.openxmlformats.org/officeDocument/2006/relationships/hyperlink" Target="http://www.sec.gov/Archives/edgar/data/1671858/000119312520304858/d67046dex41.htm" TargetMode="External"/><Relationship Id="rId228" Type="http://schemas.openxmlformats.org/officeDocument/2006/relationships/hyperlink" Target="http://www.sec.gov/Archives/edgar/data/1671858/000119312520290236/d67046dex42.htm" TargetMode="External"/><Relationship Id="rId229" Type="http://schemas.openxmlformats.org/officeDocument/2006/relationships/hyperlink" Target="http://www.sec.gov/Archives/edgar/data/1671858/000119312520290236/d67046dex43.htm" TargetMode="External"/><Relationship Id="rId230" Type="http://schemas.openxmlformats.org/officeDocument/2006/relationships/hyperlink" Target="http://www.sec.gov/Archives/edgar/data/1671858/000119312520290236/d67046dex44.htm" TargetMode="External"/><Relationship Id="rId232" Type="http://schemas.openxmlformats.org/officeDocument/2006/relationships/hyperlink" Target="http://www.sec.gov/Archives/edgar/data/1671858/000119312520290236/d67046dex101.htm" TargetMode="External"/><Relationship Id="rId233" Type="http://schemas.openxmlformats.org/officeDocument/2006/relationships/hyperlink" Target="http://www.sec.gov/Archives/edgar/data/1671858/000119312520290236/d67046dex102.htm" TargetMode="External"/><Relationship Id="rId234" Type="http://schemas.openxmlformats.org/officeDocument/2006/relationships/hyperlink" Target="http://www.sec.gov/Archives/edgar/data/1671858/000119312520304858/d67046dex103.htm" TargetMode="External"/><Relationship Id="rId235" Type="http://schemas.openxmlformats.org/officeDocument/2006/relationships/hyperlink" Target="http://www.sec.gov/Archives/edgar/data/1671858/000119312520304858/d67046dex104.htm" TargetMode="External"/><Relationship Id="rId236" Type="http://schemas.openxmlformats.org/officeDocument/2006/relationships/hyperlink" Target="http://www.sec.gov/Archives/edgar/data/1671858/000119312520290236/d67046dex105.htm" TargetMode="External"/><Relationship Id="rId237" Type="http://schemas.openxmlformats.org/officeDocument/2006/relationships/hyperlink" Target="http://www.sec.gov/Archives/edgar/data/1671858/000119312520290236/d67046dex106.htm" TargetMode="External"/><Relationship Id="rId238" Type="http://schemas.openxmlformats.org/officeDocument/2006/relationships/hyperlink" Target="http://www.sec.gov/Archives/edgar/data/1671858/000119312520290236/d67046dex107.htm" TargetMode="External"/><Relationship Id="rId239" Type="http://schemas.openxmlformats.org/officeDocument/2006/relationships/hyperlink" Target="http://www.sec.gov/Archives/edgar/data/1671858/000119312520290236/d67046dex108.htm" TargetMode="External"/><Relationship Id="rId240" Type="http://schemas.openxmlformats.org/officeDocument/2006/relationships/hyperlink" Target="http://www.sec.gov/Archives/edgar/data/1671858/000119312520290236/d67046dex109.htm" TargetMode="External"/><Relationship Id="rId241" Type="http://schemas.openxmlformats.org/officeDocument/2006/relationships/hyperlink" Target="http://www.sec.gov/Archives/edgar/data/1671858/000119312520290236/d67046dex1010.htm" TargetMode="External"/><Relationship Id="rId242" Type="http://schemas.openxmlformats.org/officeDocument/2006/relationships/hyperlink" Target="http://www.sec.gov/Archives/edgar/data/1671858/000119312520290236/d67046dex1011.htm" TargetMode="External"/><Relationship Id="rId243" Type="http://schemas.openxmlformats.org/officeDocument/2006/relationships/hyperlink" Target="http://www.sec.gov/Archives/edgar/data/1671858/000119312520290236/d67046dex1012.htm" TargetMode="External"/><Relationship Id="rId245" Type="http://schemas.openxmlformats.org/officeDocument/2006/relationships/hyperlink" Target="http://www.sec.gov/Archives/edgar/data/1671858/000119312520290236/d67046dex1013.htm" TargetMode="External"/><Relationship Id="rId246" Type="http://schemas.openxmlformats.org/officeDocument/2006/relationships/hyperlink" Target="http://www.sec.gov/Archives/edgar/data/1671858/000119312520290236/d67046dex1014.htm" TargetMode="External"/><Relationship Id="rId247" Type="http://schemas.openxmlformats.org/officeDocument/2006/relationships/hyperlink" Target="http://www.sec.gov/Archives/edgar/data/1671858/000119312520304858/d67046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2021-03-29T15:19:26Z</dcterms:created>
  <dcterms:modified xsi:type="dcterms:W3CDTF">2021-03-29T15:19:26Z</dcterms:modified>
</cp:coreProperties>
</file>