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75565</wp:posOffset>
            </wp:positionV>
            <wp:extent cx="98171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93345</wp:posOffset>
            </wp:positionV>
            <wp:extent cx="9817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7" w:lineRule="exact"/>
        <w:rPr>
          <w:sz w:val="24"/>
          <w:szCs w:val="24"/>
          <w:color w:val="auto"/>
        </w:rPr>
      </w:pPr>
    </w:p>
    <w:p>
      <w:pPr>
        <w:ind w:left="980" w:right="1379" w:hanging="342"/>
        <w:spacing w:after="0" w:line="254" w:lineRule="auto"/>
        <w:tabs>
          <w:tab w:leader="none" w:pos="973"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2025</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1" w:lineRule="exact"/>
        <w:rPr>
          <w:sz w:val="24"/>
          <w:szCs w:val="24"/>
          <w:color w:val="auto"/>
        </w:rPr>
      </w:pPr>
    </w:p>
    <w:p>
      <w:pPr>
        <w:ind w:left="980" w:right="1399" w:hanging="342"/>
        <w:spacing w:after="0" w:line="268" w:lineRule="auto"/>
        <w:tabs>
          <w:tab w:leader="none" w:pos="973"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 w:lineRule="exact"/>
        <w:rPr>
          <w:sz w:val="24"/>
          <w:szCs w:val="24"/>
          <w:color w:val="auto"/>
        </w:rPr>
      </w:pPr>
    </w:p>
    <w:p>
      <w:pPr>
        <w:ind w:left="2740"/>
        <w:spacing w:after="0"/>
        <w:tabs>
          <w:tab w:leader="none" w:pos="53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2933065</wp:posOffset>
            </wp:positionH>
            <wp:positionV relativeFrom="paragraph">
              <wp:posOffset>-2540</wp:posOffset>
            </wp:positionV>
            <wp:extent cx="4546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4660" cy="6985"/>
                    </a:xfrm>
                    <a:prstGeom prst="rect">
                      <a:avLst/>
                    </a:prstGeom>
                    <a:noFill/>
                  </pic:spPr>
                </pic:pic>
              </a:graphicData>
            </a:graphic>
          </wp:anchor>
        </w:drawing>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 File Number 001-39756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92710</wp:posOffset>
            </wp:positionV>
            <wp:extent cx="9817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4"/>
          <w:szCs w:val="34"/>
          <w:b w:val="1"/>
          <w:bCs w:val="1"/>
          <w:color w:val="auto"/>
        </w:rPr>
        <w:t>ARS Pharmaceuticals, Inc.</w:t>
      </w:r>
    </w:p>
    <w:p>
      <w:pPr>
        <w:spacing w:after="0" w:line="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81280</wp:posOffset>
            </wp:positionV>
            <wp:extent cx="9817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359" w:lineRule="exact"/>
        <w:rPr>
          <w:sz w:val="24"/>
          <w:szCs w:val="24"/>
          <w:color w:val="auto"/>
        </w:rPr>
      </w:pPr>
    </w:p>
    <w:tbl>
      <w:tblPr>
        <w:tblLayout w:type="fixed"/>
        <w:tblInd w:w="640" w:type="dxa"/>
        <w:tblCellMar>
          <w:top w:w="0" w:type="dxa"/>
          <w:left w:w="0" w:type="dxa"/>
          <w:bottom w:w="0" w:type="dxa"/>
          <w:right w:w="0" w:type="dxa"/>
        </w:tblCellMar>
      </w:tblPr>
      <w:tr>
        <w:trPr>
          <w:trHeight w:val="169"/>
        </w:trPr>
        <w:tc>
          <w:tcPr>
            <w:tcW w:w="3100" w:type="dxa"/>
            <w:vAlign w:val="bottom"/>
            <w:gridSpan w:val="3"/>
          </w:tcPr>
          <w:p>
            <w:pPr>
              <w:jc w:val="center"/>
              <w:ind w:left="69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540" w:type="dxa"/>
            <w:vAlign w:val="bottom"/>
          </w:tcPr>
          <w:p>
            <w:pPr>
              <w:spacing w:after="0"/>
              <w:rPr>
                <w:sz w:val="14"/>
                <w:szCs w:val="14"/>
                <w:color w:val="auto"/>
              </w:rPr>
            </w:pPr>
          </w:p>
        </w:tc>
        <w:tc>
          <w:tcPr>
            <w:tcW w:w="3100" w:type="dxa"/>
            <w:vAlign w:val="bottom"/>
            <w:gridSpan w:val="3"/>
          </w:tcPr>
          <w:p>
            <w:pPr>
              <w:jc w:val="right"/>
              <w:ind w:right="1540"/>
              <w:spacing w:after="0"/>
              <w:rPr>
                <w:sz w:val="20"/>
                <w:szCs w:val="20"/>
                <w:color w:val="auto"/>
              </w:rPr>
            </w:pPr>
            <w:r>
              <w:rPr>
                <w:rFonts w:ascii="Times New Roman" w:cs="Times New Roman" w:eastAsia="Times New Roman" w:hAnsi="Times New Roman"/>
                <w:sz w:val="14"/>
                <w:szCs w:val="14"/>
                <w:b w:val="1"/>
                <w:bCs w:val="1"/>
                <w:color w:val="auto"/>
              </w:rPr>
              <w:t>81-1489190</w:t>
            </w:r>
          </w:p>
        </w:tc>
        <w:tc>
          <w:tcPr>
            <w:tcW w:w="0" w:type="dxa"/>
            <w:vAlign w:val="bottom"/>
          </w:tcPr>
          <w:p>
            <w:pPr>
              <w:spacing w:after="0"/>
              <w:rPr>
                <w:sz w:val="1"/>
                <w:szCs w:val="1"/>
                <w:color w:val="auto"/>
              </w:rPr>
            </w:pPr>
          </w:p>
        </w:tc>
      </w:tr>
      <w:tr>
        <w:trPr>
          <w:trHeight w:val="118"/>
        </w:trPr>
        <w:tc>
          <w:tcPr>
            <w:tcW w:w="3100" w:type="dxa"/>
            <w:vAlign w:val="bottom"/>
            <w:gridSpan w:val="3"/>
          </w:tcPr>
          <w:p>
            <w:pPr>
              <w:jc w:val="center"/>
              <w:ind w:left="694"/>
              <w:spacing w:after="0" w:line="119"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80" w:type="dxa"/>
            <w:vAlign w:val="bottom"/>
          </w:tcPr>
          <w:p>
            <w:pPr>
              <w:jc w:val="center"/>
              <w:ind w:right="1340"/>
              <w:spacing w:after="0" w:line="119"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50"/>
        </w:trPr>
        <w:tc>
          <w:tcPr>
            <w:tcW w:w="3100" w:type="dxa"/>
            <w:vAlign w:val="bottom"/>
            <w:gridSpan w:val="3"/>
          </w:tcPr>
          <w:p>
            <w:pPr>
              <w:jc w:val="center"/>
              <w:ind w:left="694"/>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tcPr>
          <w:p>
            <w:pPr>
              <w:jc w:val="center"/>
              <w:ind w:right="1360"/>
              <w:spacing w:after="0"/>
              <w:rPr>
                <w:sz w:val="20"/>
                <w:szCs w:val="20"/>
                <w:color w:val="auto"/>
              </w:rPr>
            </w:pPr>
            <w:r>
              <w:rPr>
                <w:rFonts w:ascii="Times New Roman" w:cs="Times New Roman" w:eastAsia="Times New Roman" w:hAnsi="Times New Roman"/>
                <w:sz w:val="11"/>
                <w:szCs w:val="11"/>
                <w:b w:val="1"/>
                <w:bCs w:val="1"/>
                <w:color w:val="auto"/>
              </w:rPr>
              <w:t>Identification No.)</w:t>
            </w:r>
          </w:p>
        </w:tc>
        <w:tc>
          <w:tcPr>
            <w:tcW w:w="0" w:type="dxa"/>
            <w:vAlign w:val="bottom"/>
          </w:tcPr>
          <w:p>
            <w:pPr>
              <w:spacing w:after="0"/>
              <w:rPr>
                <w:sz w:val="1"/>
                <w:szCs w:val="1"/>
                <w:color w:val="auto"/>
              </w:rPr>
            </w:pPr>
          </w:p>
        </w:tc>
      </w:tr>
      <w:tr>
        <w:trPr>
          <w:trHeight w:val="218"/>
        </w:trPr>
        <w:tc>
          <w:tcPr>
            <w:tcW w:w="3100" w:type="dxa"/>
            <w:vAlign w:val="bottom"/>
            <w:gridSpan w:val="3"/>
          </w:tcPr>
          <w:p>
            <w:pPr>
              <w:jc w:val="center"/>
              <w:ind w:left="694"/>
              <w:spacing w:after="0"/>
              <w:rPr>
                <w:sz w:val="20"/>
                <w:szCs w:val="20"/>
                <w:color w:val="auto"/>
              </w:rPr>
            </w:pPr>
            <w:r>
              <w:rPr>
                <w:rFonts w:ascii="Times New Roman" w:cs="Times New Roman" w:eastAsia="Times New Roman" w:hAnsi="Times New Roman"/>
                <w:sz w:val="14"/>
                <w:szCs w:val="14"/>
                <w:b w:val="1"/>
                <w:bCs w:val="1"/>
                <w:color w:val="auto"/>
              </w:rPr>
              <w:t>11682 El Camino Real, Suite 120</w:t>
            </w:r>
          </w:p>
        </w:tc>
        <w:tc>
          <w:tcPr>
            <w:tcW w:w="1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100" w:type="dxa"/>
            <w:vAlign w:val="bottom"/>
            <w:gridSpan w:val="3"/>
          </w:tcPr>
          <w:p>
            <w:pPr>
              <w:jc w:val="center"/>
              <w:ind w:left="694"/>
              <w:spacing w:after="0"/>
              <w:rPr>
                <w:sz w:val="20"/>
                <w:szCs w:val="20"/>
                <w:color w:val="auto"/>
              </w:rPr>
            </w:pPr>
            <w:r>
              <w:rPr>
                <w:rFonts w:ascii="Times New Roman" w:cs="Times New Roman" w:eastAsia="Times New Roman" w:hAnsi="Times New Roman"/>
                <w:sz w:val="14"/>
                <w:szCs w:val="14"/>
                <w:b w:val="1"/>
                <w:bCs w:val="1"/>
                <w:color w:val="auto"/>
              </w:rPr>
              <w:t>San Diego, California</w:t>
            </w:r>
          </w:p>
        </w:tc>
        <w:tc>
          <w:tcPr>
            <w:tcW w:w="1540" w:type="dxa"/>
            <w:vAlign w:val="bottom"/>
          </w:tcPr>
          <w:p>
            <w:pPr>
              <w:spacing w:after="0"/>
              <w:rPr>
                <w:sz w:val="14"/>
                <w:szCs w:val="14"/>
                <w:color w:val="auto"/>
              </w:rPr>
            </w:pPr>
          </w:p>
        </w:tc>
        <w:tc>
          <w:tcPr>
            <w:tcW w:w="3100" w:type="dxa"/>
            <w:vAlign w:val="bottom"/>
            <w:gridSpan w:val="3"/>
          </w:tcPr>
          <w:p>
            <w:pPr>
              <w:jc w:val="right"/>
              <w:ind w:right="1700"/>
              <w:spacing w:after="0"/>
              <w:rPr>
                <w:sz w:val="20"/>
                <w:szCs w:val="20"/>
                <w:color w:val="auto"/>
              </w:rPr>
            </w:pPr>
            <w:r>
              <w:rPr>
                <w:rFonts w:ascii="Times New Roman" w:cs="Times New Roman" w:eastAsia="Times New Roman" w:hAnsi="Times New Roman"/>
                <w:sz w:val="14"/>
                <w:szCs w:val="14"/>
                <w:b w:val="1"/>
                <w:bCs w:val="1"/>
                <w:color w:val="auto"/>
              </w:rPr>
              <w:t>92130</w:t>
            </w:r>
          </w:p>
        </w:tc>
        <w:tc>
          <w:tcPr>
            <w:tcW w:w="0" w:type="dxa"/>
            <w:vAlign w:val="bottom"/>
          </w:tcPr>
          <w:p>
            <w:pPr>
              <w:spacing w:after="0"/>
              <w:rPr>
                <w:sz w:val="1"/>
                <w:szCs w:val="1"/>
                <w:color w:val="auto"/>
              </w:rPr>
            </w:pPr>
          </w:p>
        </w:tc>
      </w:tr>
      <w:tr>
        <w:trPr>
          <w:trHeight w:val="150"/>
        </w:trPr>
        <w:tc>
          <w:tcPr>
            <w:tcW w:w="3100" w:type="dxa"/>
            <w:vAlign w:val="bottom"/>
            <w:gridSpan w:val="3"/>
          </w:tcPr>
          <w:p>
            <w:pPr>
              <w:jc w:val="center"/>
              <w:ind w:left="694"/>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tcPr>
          <w:p>
            <w:pPr>
              <w:jc w:val="center"/>
              <w:ind w:right="1340"/>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223"/>
        </w:trPr>
        <w:tc>
          <w:tcPr>
            <w:tcW w:w="77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(858) 771-9307</w:t>
            </w:r>
          </w:p>
        </w:tc>
        <w:tc>
          <w:tcPr>
            <w:tcW w:w="0" w:type="dxa"/>
            <w:vAlign w:val="bottom"/>
          </w:tcPr>
          <w:p>
            <w:pPr>
              <w:spacing w:after="0"/>
              <w:rPr>
                <w:sz w:val="1"/>
                <w:szCs w:val="1"/>
                <w:color w:val="auto"/>
              </w:rPr>
            </w:pPr>
          </w:p>
        </w:tc>
      </w:tr>
      <w:tr>
        <w:trPr>
          <w:trHeight w:val="130"/>
        </w:trPr>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7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357"/>
        </w:trPr>
        <w:tc>
          <w:tcPr>
            <w:tcW w:w="25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00" w:type="dxa"/>
            <w:vAlign w:val="bottom"/>
            <w:vMerge w:val="restart"/>
          </w:tcPr>
          <w:p>
            <w:pPr>
              <w:spacing w:after="0"/>
              <w:rPr>
                <w:sz w:val="24"/>
                <w:szCs w:val="24"/>
                <w:color w:val="auto"/>
              </w:rPr>
            </w:pPr>
          </w:p>
        </w:tc>
        <w:tc>
          <w:tcPr>
            <w:tcW w:w="420" w:type="dxa"/>
            <w:vAlign w:val="bottom"/>
            <w:vMerge w:val="restart"/>
          </w:tcPr>
          <w:p>
            <w:pPr>
              <w:spacing w:after="0"/>
              <w:rPr>
                <w:sz w:val="24"/>
                <w:szCs w:val="24"/>
                <w:color w:val="auto"/>
              </w:rPr>
            </w:pPr>
          </w:p>
        </w:tc>
        <w:tc>
          <w:tcPr>
            <w:tcW w:w="1540" w:type="dxa"/>
            <w:vAlign w:val="bottom"/>
          </w:tcPr>
          <w:p>
            <w:pPr>
              <w:jc w:val="center"/>
              <w:ind w:left="38"/>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c>
          <w:tcPr>
            <w:tcW w:w="0" w:type="dxa"/>
            <w:vAlign w:val="bottom"/>
          </w:tcPr>
          <w:p>
            <w:pPr>
              <w:spacing w:after="0"/>
              <w:rPr>
                <w:sz w:val="1"/>
                <w:szCs w:val="1"/>
                <w:color w:val="auto"/>
              </w:rPr>
            </w:pPr>
          </w:p>
        </w:tc>
      </w:tr>
      <w:tr>
        <w:trPr>
          <w:trHeight w:val="137"/>
        </w:trPr>
        <w:tc>
          <w:tcPr>
            <w:tcW w:w="258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1540" w:type="dxa"/>
            <w:vAlign w:val="bottom"/>
            <w:tcBorders>
              <w:bottom w:val="single" w:sz="8" w:color="auto"/>
            </w:tcBorders>
          </w:tcPr>
          <w:p>
            <w:pPr>
              <w:jc w:val="center"/>
              <w:ind w:left="38"/>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on which registered</w:t>
            </w:r>
          </w:p>
        </w:tc>
        <w:tc>
          <w:tcPr>
            <w:tcW w:w="0" w:type="dxa"/>
            <w:vAlign w:val="bottom"/>
          </w:tcPr>
          <w:p>
            <w:pPr>
              <w:spacing w:after="0"/>
              <w:rPr>
                <w:sz w:val="1"/>
                <w:szCs w:val="1"/>
                <w:color w:val="auto"/>
              </w:rPr>
            </w:pPr>
          </w:p>
        </w:tc>
      </w:tr>
      <w:tr>
        <w:trPr>
          <w:trHeight w:val="285"/>
        </w:trPr>
        <w:tc>
          <w:tcPr>
            <w:tcW w:w="31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Common Stock, par value $0.0001 per</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SPRY</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88"/>
        </w:trPr>
        <w:tc>
          <w:tcPr>
            <w:tcW w:w="31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640" w:right="699"/>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 w:lineRule="exact"/>
        <w:rPr>
          <w:sz w:val="24"/>
          <w:szCs w:val="24"/>
          <w:color w:val="auto"/>
        </w:rPr>
      </w:pPr>
    </w:p>
    <w:p>
      <w:pPr>
        <w:ind w:left="640" w:right="759"/>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 w:lineRule="exact"/>
        <w:rPr>
          <w:sz w:val="24"/>
          <w:szCs w:val="24"/>
          <w:color w:val="auto"/>
        </w:rPr>
      </w:pPr>
    </w:p>
    <w:p>
      <w:pPr>
        <w:ind w:left="640" w:right="1019"/>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680" w:type="dxa"/>
        <w:tblCellMar>
          <w:top w:w="0" w:type="dxa"/>
          <w:left w:w="0" w:type="dxa"/>
          <w:bottom w:w="0" w:type="dxa"/>
          <w:right w:w="0" w:type="dxa"/>
        </w:tblCellMar>
      </w:tblP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ind w:left="1900"/>
              <w:spacing w:after="0"/>
              <w:rPr>
                <w:sz w:val="20"/>
                <w:szCs w:val="20"/>
                <w:color w:val="auto"/>
              </w:rPr>
            </w:pPr>
            <w:r>
              <w:rPr>
                <w:rFonts w:ascii="Times New Roman" w:cs="Times New Roman" w:eastAsia="Times New Roman" w:hAnsi="Times New Roman"/>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5"/>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ind w:left="19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1"/>
        </w:trPr>
        <w:tc>
          <w:tcPr>
            <w:tcW w:w="14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600" w:type="dxa"/>
            <w:vAlign w:val="bottom"/>
          </w:tcPr>
          <w:p>
            <w:pPr>
              <w:ind w:left="1900"/>
              <w:spacing w:after="0"/>
              <w:rPr>
                <w:sz w:val="20"/>
                <w:szCs w:val="20"/>
                <w:color w:val="auto"/>
              </w:rPr>
            </w:pPr>
            <w:r>
              <w:rPr>
                <w:rFonts w:ascii="Times New Roman" w:cs="Times New Roman" w:eastAsia="Times New Roman" w:hAnsi="Times New Roman"/>
                <w:sz w:val="14"/>
                <w:szCs w:val="14"/>
                <w:color w:val="auto"/>
              </w:rPr>
              <w:t>Emerging growth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 w:lineRule="exact"/>
        <w:rPr>
          <w:sz w:val="24"/>
          <w:szCs w:val="24"/>
          <w:color w:val="auto"/>
        </w:rPr>
      </w:pPr>
    </w:p>
    <w:p>
      <w:pPr>
        <w:ind w:left="640" w:right="1019"/>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640" w:right="799"/>
        <w:spacing w:after="0" w:line="20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12, 2025, there were 98,213,561 shares of registrant’s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711200</wp:posOffset>
            </wp:positionV>
            <wp:extent cx="56038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116840</wp:posOffset>
            </wp:positionV>
            <wp:extent cx="490982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09820" cy="6985"/>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13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180" w:type="dxa"/>
            <w:vAlign w:val="bottom"/>
            <w:gridSpan w:val="18"/>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INFORMATION</w:t>
            </w: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48"/>
        </w:trPr>
        <w:tc>
          <w:tcPr>
            <w:tcW w:w="1300" w:type="dxa"/>
            <w:vAlign w:val="bottom"/>
            <w:vMerge w:val="continue"/>
          </w:tcPr>
          <w:p>
            <w:pPr>
              <w:spacing w:after="0"/>
              <w:rPr>
                <w:sz w:val="12"/>
                <w:szCs w:val="12"/>
                <w:color w:val="auto"/>
              </w:rPr>
            </w:pPr>
          </w:p>
        </w:tc>
        <w:tc>
          <w:tcPr>
            <w:tcW w:w="6180" w:type="dxa"/>
            <w:vAlign w:val="bottom"/>
            <w:gridSpan w:val="18"/>
            <w:vMerge w:val="continue"/>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300" w:type="dxa"/>
            <w:vAlign w:val="bottom"/>
          </w:tcPr>
          <w:p>
            <w:pPr>
              <w:ind w:left="520"/>
              <w:spacing w:after="0" w:line="155" w:lineRule="exact"/>
              <w:rPr>
                <w:sz w:val="20"/>
                <w:szCs w:val="20"/>
                <w:color w:val="auto"/>
              </w:rPr>
            </w:pPr>
            <w:r>
              <w:rPr>
                <w:rFonts w:ascii="Times New Roman" w:cs="Times New Roman" w:eastAsia="Times New Roman" w:hAnsi="Times New Roman"/>
                <w:sz w:val="14"/>
                <w:szCs w:val="14"/>
                <w:color w:val="auto"/>
              </w:rPr>
              <w:t>Item 1.</w:t>
            </w:r>
          </w:p>
        </w:tc>
        <w:tc>
          <w:tcPr>
            <w:tcW w:w="6180" w:type="dxa"/>
            <w:vAlign w:val="bottom"/>
            <w:gridSpan w:val="18"/>
          </w:tcPr>
          <w:p>
            <w:pPr>
              <w:spacing w:after="0" w:line="155" w:lineRule="exact"/>
              <w:rPr>
                <w:sz w:val="20"/>
                <w:szCs w:val="20"/>
                <w:color w:val="auto"/>
              </w:rPr>
            </w:pPr>
            <w:r>
              <w:rPr>
                <w:rFonts w:ascii="Times New Roman" w:cs="Times New Roman" w:eastAsia="Times New Roman" w:hAnsi="Times New Roman"/>
                <w:sz w:val="14"/>
                <w:szCs w:val="14"/>
                <w:color w:val="0000FF"/>
              </w:rPr>
              <w:t>Financial Statements</w:t>
            </w:r>
          </w:p>
        </w:tc>
        <w:tc>
          <w:tcPr>
            <w:tcW w:w="1300" w:type="dxa"/>
            <w:vAlign w:val="bottom"/>
            <w:gridSpan w:val="2"/>
          </w:tcPr>
          <w:p>
            <w:pPr>
              <w:jc w:val="right"/>
              <w:ind w:right="520"/>
              <w:spacing w:after="0" w:line="155"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spacing w:after="0"/>
              <w:rPr>
                <w:sz w:val="13"/>
                <w:szCs w:val="13"/>
                <w:color w:val="auto"/>
              </w:rPr>
            </w:pPr>
          </w:p>
        </w:tc>
        <w:tc>
          <w:tcPr>
            <w:tcW w:w="6180" w:type="dxa"/>
            <w:vAlign w:val="bottom"/>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Balance Sheets</w:t>
            </w:r>
          </w:p>
        </w:tc>
        <w:tc>
          <w:tcPr>
            <w:tcW w:w="130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spacing w:after="0"/>
              <w:rPr>
                <w:sz w:val="13"/>
                <w:szCs w:val="13"/>
                <w:color w:val="auto"/>
              </w:rPr>
            </w:pPr>
          </w:p>
        </w:tc>
        <w:tc>
          <w:tcPr>
            <w:tcW w:w="6180" w:type="dxa"/>
            <w:vAlign w:val="bottom"/>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Operations and Comprehensive Loss</w:t>
            </w:r>
          </w:p>
        </w:tc>
        <w:tc>
          <w:tcPr>
            <w:tcW w:w="130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4380" w:type="dxa"/>
            <w:vAlign w:val="bottom"/>
            <w:tcBorders>
              <w:top w:val="single" w:sz="8" w:color="0000FF"/>
            </w:tcBorders>
            <w:gridSpan w:val="16"/>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Stockholders’ Equity</w:t>
            </w:r>
          </w:p>
        </w:tc>
        <w:tc>
          <w:tcPr>
            <w:tcW w:w="1800" w:type="dxa"/>
            <w:vAlign w:val="bottom"/>
            <w:gridSpan w:val="2"/>
          </w:tcPr>
          <w:p>
            <w:pPr>
              <w:spacing w:after="0"/>
              <w:rPr>
                <w:sz w:val="13"/>
                <w:szCs w:val="13"/>
                <w:color w:val="auto"/>
              </w:rPr>
            </w:pPr>
          </w:p>
        </w:tc>
        <w:tc>
          <w:tcPr>
            <w:tcW w:w="130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3480" w:type="dxa"/>
            <w:vAlign w:val="bottom"/>
            <w:tcBorders>
              <w:top w:val="single" w:sz="8" w:color="0000FF"/>
            </w:tcBorders>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2700" w:type="dxa"/>
            <w:vAlign w:val="bottom"/>
            <w:gridSpan w:val="5"/>
          </w:tcPr>
          <w:p>
            <w:pPr>
              <w:spacing w:after="0"/>
              <w:rPr>
                <w:sz w:val="13"/>
                <w:szCs w:val="13"/>
                <w:color w:val="auto"/>
              </w:rPr>
            </w:pPr>
          </w:p>
        </w:tc>
        <w:tc>
          <w:tcPr>
            <w:tcW w:w="130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tcBorders>
              <w:right w:val="single" w:sz="8" w:color="0000EE"/>
            </w:tcBorders>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spacing w:after="0"/>
              <w:rPr>
                <w:sz w:val="13"/>
                <w:szCs w:val="13"/>
                <w:color w:val="auto"/>
              </w:rPr>
            </w:pPr>
          </w:p>
        </w:tc>
        <w:tc>
          <w:tcPr>
            <w:tcW w:w="3800" w:type="dxa"/>
            <w:vAlign w:val="bottom"/>
            <w:tcBorders>
              <w:bottom w:val="single" w:sz="8" w:color="0000FF"/>
            </w:tcBorders>
            <w:gridSpan w:val="14"/>
          </w:tcPr>
          <w:p>
            <w:pPr>
              <w:spacing w:after="0" w:line="152" w:lineRule="exact"/>
              <w:rPr>
                <w:sz w:val="20"/>
                <w:szCs w:val="20"/>
                <w:color w:val="auto"/>
              </w:rPr>
            </w:pPr>
            <w:r>
              <w:rPr>
                <w:rFonts w:ascii="Times New Roman" w:cs="Times New Roman" w:eastAsia="Times New Roman" w:hAnsi="Times New Roman"/>
                <w:sz w:val="14"/>
                <w:szCs w:val="14"/>
                <w:color w:val="0000FF"/>
              </w:rPr>
              <w:t>Notes to Unaudited Condensed Consolidated Financial Statements</w:t>
            </w:r>
          </w:p>
        </w:tc>
        <w:tc>
          <w:tcPr>
            <w:tcW w:w="20" w:type="dxa"/>
            <w:vAlign w:val="bottom"/>
            <w:tcBorders>
              <w:bottom w:val="single" w:sz="8" w:color="0000EE"/>
            </w:tcBorders>
          </w:tcPr>
          <w:p>
            <w:pPr>
              <w:spacing w:after="0"/>
              <w:rPr>
                <w:sz w:val="13"/>
                <w:szCs w:val="13"/>
                <w:color w:val="auto"/>
              </w:rPr>
            </w:pPr>
          </w:p>
        </w:tc>
        <w:tc>
          <w:tcPr>
            <w:tcW w:w="2360" w:type="dxa"/>
            <w:vAlign w:val="bottom"/>
            <w:gridSpan w:val="3"/>
          </w:tcPr>
          <w:p>
            <w:pPr>
              <w:spacing w:after="0"/>
              <w:rPr>
                <w:sz w:val="13"/>
                <w:szCs w:val="13"/>
                <w:color w:val="auto"/>
              </w:rPr>
            </w:pPr>
          </w:p>
        </w:tc>
        <w:tc>
          <w:tcPr>
            <w:tcW w:w="130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5140" w:type="dxa"/>
            <w:vAlign w:val="bottom"/>
            <w:tcBorders>
              <w:bottom w:val="single" w:sz="8" w:color="0000FF"/>
            </w:tcBorders>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040" w:type="dxa"/>
            <w:vAlign w:val="bottom"/>
          </w:tcPr>
          <w:p>
            <w:pPr>
              <w:spacing w:after="0"/>
              <w:rPr>
                <w:sz w:val="13"/>
                <w:szCs w:val="13"/>
                <w:color w:val="auto"/>
              </w:rPr>
            </w:pPr>
          </w:p>
        </w:tc>
        <w:tc>
          <w:tcPr>
            <w:tcW w:w="130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3460" w:type="dxa"/>
            <w:vAlign w:val="bottom"/>
            <w:tcBorders>
              <w:bottom w:val="single" w:sz="8" w:color="0000FF"/>
            </w:tcBorders>
            <w:gridSpan w:val="12"/>
          </w:tcPr>
          <w:p>
            <w:pPr>
              <w:spacing w:after="0" w:line="152"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2720" w:type="dxa"/>
            <w:vAlign w:val="bottom"/>
            <w:gridSpan w:val="6"/>
          </w:tcPr>
          <w:p>
            <w:pPr>
              <w:spacing w:after="0"/>
              <w:rPr>
                <w:sz w:val="13"/>
                <w:szCs w:val="13"/>
                <w:color w:val="auto"/>
              </w:rPr>
            </w:pPr>
          </w:p>
        </w:tc>
        <w:tc>
          <w:tcPr>
            <w:tcW w:w="130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1400" w:type="dxa"/>
            <w:vAlign w:val="bottom"/>
            <w:tcBorders>
              <w:bottom w:val="single" w:sz="8" w:color="0000FF"/>
            </w:tcBorders>
            <w:gridSpan w:val="7"/>
          </w:tcPr>
          <w:p>
            <w:pPr>
              <w:spacing w:after="0" w:line="152" w:lineRule="exact"/>
              <w:rPr>
                <w:sz w:val="20"/>
                <w:szCs w:val="20"/>
                <w:color w:val="auto"/>
              </w:rPr>
            </w:pPr>
            <w:r>
              <w:rPr>
                <w:rFonts w:ascii="Times New Roman" w:cs="Times New Roman" w:eastAsia="Times New Roman" w:hAnsi="Times New Roman"/>
                <w:sz w:val="14"/>
                <w:szCs w:val="14"/>
                <w:color w:val="0000FF"/>
              </w:rPr>
              <w:t>Controls and Procedures</w:t>
            </w:r>
          </w:p>
        </w:tc>
        <w:tc>
          <w:tcPr>
            <w:tcW w:w="20" w:type="dxa"/>
            <w:vAlign w:val="bottom"/>
            <w:tcBorders>
              <w:bottom w:val="single" w:sz="8" w:color="0000EE"/>
            </w:tcBorders>
          </w:tcPr>
          <w:p>
            <w:pPr>
              <w:spacing w:after="0"/>
              <w:rPr>
                <w:sz w:val="13"/>
                <w:szCs w:val="13"/>
                <w:color w:val="auto"/>
              </w:rPr>
            </w:pPr>
          </w:p>
        </w:tc>
        <w:tc>
          <w:tcPr>
            <w:tcW w:w="4760" w:type="dxa"/>
            <w:vAlign w:val="bottom"/>
            <w:gridSpan w:val="10"/>
          </w:tcPr>
          <w:p>
            <w:pPr>
              <w:spacing w:after="0"/>
              <w:rPr>
                <w:sz w:val="13"/>
                <w:szCs w:val="13"/>
                <w:color w:val="auto"/>
              </w:rPr>
            </w:pPr>
          </w:p>
        </w:tc>
        <w:tc>
          <w:tcPr>
            <w:tcW w:w="130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66"/>
        </w:trPr>
        <w:tc>
          <w:tcPr>
            <w:tcW w:w="13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6180" w:type="dxa"/>
            <w:vAlign w:val="bottom"/>
            <w:gridSpan w:val="18"/>
          </w:tcPr>
          <w:p>
            <w:pPr>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1300" w:type="dxa"/>
            <w:vAlign w:val="bottom"/>
          </w:tcPr>
          <w:p>
            <w:pPr>
              <w:ind w:left="520"/>
              <w:spacing w:after="0" w:line="155" w:lineRule="exact"/>
              <w:rPr>
                <w:sz w:val="20"/>
                <w:szCs w:val="20"/>
                <w:color w:val="auto"/>
              </w:rPr>
            </w:pPr>
            <w:r>
              <w:rPr>
                <w:rFonts w:ascii="Times New Roman" w:cs="Times New Roman" w:eastAsia="Times New Roman" w:hAnsi="Times New Roman"/>
                <w:sz w:val="14"/>
                <w:szCs w:val="14"/>
                <w:color w:val="auto"/>
              </w:rPr>
              <w:t>Item 1.</w:t>
            </w:r>
          </w:p>
        </w:tc>
        <w:tc>
          <w:tcPr>
            <w:tcW w:w="1060" w:type="dxa"/>
            <w:vAlign w:val="bottom"/>
            <w:tcBorders>
              <w:bottom w:val="single" w:sz="8" w:color="0000FF"/>
            </w:tcBorders>
            <w:gridSpan w:val="5"/>
          </w:tcPr>
          <w:p>
            <w:pPr>
              <w:spacing w:after="0" w:line="155" w:lineRule="exact"/>
              <w:rPr>
                <w:sz w:val="20"/>
                <w:szCs w:val="20"/>
                <w:color w:val="auto"/>
              </w:rPr>
            </w:pPr>
            <w:r>
              <w:rPr>
                <w:rFonts w:ascii="Times New Roman" w:cs="Times New Roman" w:eastAsia="Times New Roman" w:hAnsi="Times New Roman"/>
                <w:sz w:val="14"/>
                <w:szCs w:val="14"/>
                <w:color w:val="0000FF"/>
              </w:rPr>
              <w:t>Legal Proceedings</w:t>
            </w:r>
          </w:p>
        </w:tc>
        <w:tc>
          <w:tcPr>
            <w:tcW w:w="5120" w:type="dxa"/>
            <w:vAlign w:val="bottom"/>
            <w:gridSpan w:val="13"/>
          </w:tcPr>
          <w:p>
            <w:pPr>
              <w:spacing w:after="0"/>
              <w:rPr>
                <w:sz w:val="13"/>
                <w:szCs w:val="13"/>
                <w:color w:val="auto"/>
              </w:rPr>
            </w:pPr>
          </w:p>
        </w:tc>
        <w:tc>
          <w:tcPr>
            <w:tcW w:w="1300" w:type="dxa"/>
            <w:vAlign w:val="bottom"/>
            <w:gridSpan w:val="2"/>
          </w:tcPr>
          <w:p>
            <w:pPr>
              <w:jc w:val="right"/>
              <w:ind w:right="520"/>
              <w:spacing w:after="0" w:line="155"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4"/>
                <w:szCs w:val="14"/>
                <w:color w:val="0000FF"/>
                <w:w w:val="99"/>
              </w:rPr>
              <w:t>Risk Factors</w:t>
            </w:r>
          </w:p>
        </w:tc>
        <w:tc>
          <w:tcPr>
            <w:tcW w:w="20" w:type="dxa"/>
            <w:vAlign w:val="bottom"/>
            <w:tcBorders>
              <w:bottom w:val="single" w:sz="8" w:color="0000EE"/>
            </w:tcBorders>
          </w:tcPr>
          <w:p>
            <w:pPr>
              <w:spacing w:after="0"/>
              <w:rPr>
                <w:sz w:val="13"/>
                <w:szCs w:val="13"/>
                <w:color w:val="auto"/>
              </w:rPr>
            </w:pPr>
          </w:p>
        </w:tc>
        <w:tc>
          <w:tcPr>
            <w:tcW w:w="5440" w:type="dxa"/>
            <w:vAlign w:val="bottom"/>
            <w:gridSpan w:val="15"/>
          </w:tcPr>
          <w:p>
            <w:pPr>
              <w:spacing w:after="0"/>
              <w:rPr>
                <w:sz w:val="13"/>
                <w:szCs w:val="13"/>
                <w:color w:val="auto"/>
              </w:rPr>
            </w:pPr>
          </w:p>
        </w:tc>
        <w:tc>
          <w:tcPr>
            <w:tcW w:w="130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180" w:type="dxa"/>
            <w:vAlign w:val="bottom"/>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130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5.</w:t>
            </w:r>
          </w:p>
        </w:tc>
        <w:tc>
          <w:tcPr>
            <w:tcW w:w="1040" w:type="dxa"/>
            <w:vAlign w:val="bottom"/>
            <w:tcBorders>
              <w:top w:val="single" w:sz="8" w:color="0000FF"/>
              <w:bottom w:val="single" w:sz="8" w:color="0000FF"/>
            </w:tcBorders>
            <w:gridSpan w:val="4"/>
          </w:tcPr>
          <w:p>
            <w:pPr>
              <w:spacing w:after="0" w:line="152" w:lineRule="exact"/>
              <w:rPr>
                <w:sz w:val="20"/>
                <w:szCs w:val="20"/>
                <w:color w:val="auto"/>
              </w:rPr>
            </w:pPr>
            <w:r>
              <w:rPr>
                <w:rFonts w:ascii="Times New Roman" w:cs="Times New Roman" w:eastAsia="Times New Roman" w:hAnsi="Times New Roman"/>
                <w:sz w:val="14"/>
                <w:szCs w:val="14"/>
                <w:color w:val="0000FF"/>
                <w:w w:val="99"/>
              </w:rPr>
              <w:t>Other Information</w:t>
            </w:r>
          </w:p>
        </w:tc>
        <w:tc>
          <w:tcPr>
            <w:tcW w:w="2400" w:type="dxa"/>
            <w:vAlign w:val="bottom"/>
            <w:tcBorders>
              <w:top w:val="single" w:sz="8" w:color="0000FF"/>
            </w:tcBorders>
            <w:gridSpan w:val="7"/>
          </w:tcPr>
          <w:p>
            <w:pPr>
              <w:spacing w:after="0"/>
              <w:rPr>
                <w:sz w:val="13"/>
                <w:szCs w:val="13"/>
                <w:color w:val="auto"/>
              </w:rPr>
            </w:pPr>
          </w:p>
        </w:tc>
        <w:tc>
          <w:tcPr>
            <w:tcW w:w="2740" w:type="dxa"/>
            <w:vAlign w:val="bottom"/>
            <w:gridSpan w:val="7"/>
          </w:tcPr>
          <w:p>
            <w:pPr>
              <w:spacing w:after="0"/>
              <w:rPr>
                <w:sz w:val="13"/>
                <w:szCs w:val="13"/>
                <w:color w:val="auto"/>
              </w:rPr>
            </w:pPr>
          </w:p>
        </w:tc>
        <w:tc>
          <w:tcPr>
            <w:tcW w:w="130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6.</w:t>
            </w:r>
          </w:p>
        </w:tc>
        <w:tc>
          <w:tcPr>
            <w:tcW w:w="6180" w:type="dxa"/>
            <w:vAlign w:val="bottom"/>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Exhibits</w:t>
            </w:r>
          </w:p>
        </w:tc>
        <w:tc>
          <w:tcPr>
            <w:tcW w:w="130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441"/>
        </w:trPr>
        <w:tc>
          <w:tcPr>
            <w:tcW w:w="130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980" w:type="dxa"/>
            <w:vAlign w:val="bottom"/>
            <w:gridSpan w:val="10"/>
          </w:tcPr>
          <w:p>
            <w:pPr>
              <w:jc w:val="right"/>
              <w:ind w:right="32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1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99"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This Quarterly Report on Form 10-Q (this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57" w:lineRule="exact"/>
        <w:rPr>
          <w:sz w:val="20"/>
          <w:szCs w:val="20"/>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future economic conditions or performance, including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net product revenues and net product sales;</w:t>
      </w:r>
    </w:p>
    <w:p>
      <w:pPr>
        <w:spacing w:after="0" w:line="98" w:lineRule="exact"/>
        <w:rPr>
          <w:rFonts w:ascii="Times New Roman" w:cs="Times New Roman" w:eastAsia="Times New Roman" w:hAnsi="Times New Roman"/>
          <w:sz w:val="14"/>
          <w:szCs w:val="14"/>
          <w:color w:val="auto"/>
        </w:rPr>
      </w:pPr>
    </w:p>
    <w:p>
      <w:pPr>
        <w:ind w:left="1340" w:right="1219" w:hanging="352"/>
        <w:spacing w:after="0" w:line="292"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research and development plans, including planned clinical trials, for our current or future intranasal epinephrine technology product candidates;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timing for reporting data;</w:t>
      </w:r>
    </w:p>
    <w:p>
      <w:pPr>
        <w:spacing w:after="0" w:line="94" w:lineRule="exact"/>
        <w:rPr>
          <w:rFonts w:ascii="Times New Roman" w:cs="Times New Roman" w:eastAsia="Times New Roman" w:hAnsi="Times New Roman"/>
          <w:sz w:val="14"/>
          <w:szCs w:val="14"/>
          <w:color w:val="auto"/>
        </w:rPr>
      </w:pPr>
    </w:p>
    <w:p>
      <w:pPr>
        <w:ind w:left="1340" w:right="759" w:hanging="352"/>
        <w:spacing w:after="0" w:line="295"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expectations regarding the European Medicines Agency’s (“EMA”) review of our post-approval variation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1 mg;</w:t>
      </w:r>
    </w:p>
    <w:p>
      <w:pPr>
        <w:spacing w:after="0" w:line="33" w:lineRule="exact"/>
        <w:rPr>
          <w:rFonts w:ascii="Times New Roman" w:cs="Times New Roman" w:eastAsia="Times New Roman" w:hAnsi="Times New Roman"/>
          <w:sz w:val="14"/>
          <w:szCs w:val="14"/>
          <w:color w:val="auto"/>
        </w:rPr>
      </w:pPr>
    </w:p>
    <w:p>
      <w:pPr>
        <w:ind w:left="1340" w:right="739" w:hanging="352"/>
        <w:spacing w:after="0" w:line="295"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plans to submit regulatory filings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additional geographies in collaboration with our partners and the timing thereof;</w:t>
      </w:r>
    </w:p>
    <w:p>
      <w:pPr>
        <w:spacing w:after="0" w:line="33" w:lineRule="exact"/>
        <w:rPr>
          <w:rFonts w:ascii="Times New Roman" w:cs="Times New Roman" w:eastAsia="Times New Roman" w:hAnsi="Times New Roman"/>
          <w:sz w:val="14"/>
          <w:szCs w:val="14"/>
          <w:color w:val="auto"/>
        </w:rPr>
      </w:pPr>
    </w:p>
    <w:p>
      <w:pPr>
        <w:ind w:left="1340" w:right="1299" w:hanging="352"/>
        <w:spacing w:after="0" w:line="295"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expected timing for regulatory review decisions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intranasal epinephrine technology product candidates;</w:t>
      </w:r>
    </w:p>
    <w:p>
      <w:pPr>
        <w:spacing w:after="0" w:line="33" w:lineRule="exact"/>
        <w:rPr>
          <w:rFonts w:ascii="Times New Roman" w:cs="Times New Roman" w:eastAsia="Times New Roman" w:hAnsi="Times New Roman"/>
          <w:sz w:val="14"/>
          <w:szCs w:val="14"/>
          <w:color w:val="auto"/>
        </w:rPr>
      </w:pPr>
    </w:p>
    <w:p>
      <w:pPr>
        <w:ind w:left="1340" w:right="839" w:hanging="352"/>
        <w:spacing w:after="0" w:line="295"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commercial potential of and commercialization strategy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intranasal epinephrine technology product candidates;</w:t>
      </w:r>
    </w:p>
    <w:p>
      <w:pPr>
        <w:spacing w:after="0" w:line="35" w:lineRule="exact"/>
        <w:rPr>
          <w:rFonts w:ascii="Times New Roman" w:cs="Times New Roman" w:eastAsia="Times New Roman" w:hAnsi="Times New Roman"/>
          <w:sz w:val="14"/>
          <w:szCs w:val="14"/>
          <w:color w:val="auto"/>
        </w:rPr>
      </w:pPr>
    </w:p>
    <w:p>
      <w:pPr>
        <w:ind w:left="1340" w:right="759" w:hanging="352"/>
        <w:spacing w:after="0" w:line="274"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size of the markets (including annual sales opportunities) for our current and future product candidates, as well as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for its currently approved indications in the United States and the European Union (“EU”), the projected growth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thereof, and our, and our collaboration and marketing partners’, ability to capture and grow those markets;</w:t>
      </w:r>
    </w:p>
    <w:p>
      <w:pPr>
        <w:spacing w:after="0" w:line="48"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rate and degree of market acceptance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any future product candidates;</w:t>
      </w:r>
    </w:p>
    <w:p>
      <w:pPr>
        <w:spacing w:after="0" w:line="98"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competitive position;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to become the standard in treatment and transform the treatment of allergic reactions;</w:t>
      </w:r>
    </w:p>
    <w:p>
      <w:pPr>
        <w:spacing w:after="0" w:line="94"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likelihood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attaining and maintaining favorable coverage;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expected intellectual property protection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w:t>
      </w:r>
    </w:p>
    <w:p>
      <w:pPr>
        <w:spacing w:after="0" w:line="98"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legislative and regulatory developments in the United States and foreign countries;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regarding anticipated operating losses, capital requirements and needs for additional funds;</w:t>
      </w:r>
    </w:p>
    <w:p>
      <w:pPr>
        <w:spacing w:after="0" w:line="94" w:lineRule="exact"/>
        <w:rPr>
          <w:rFonts w:ascii="Times New Roman" w:cs="Times New Roman" w:eastAsia="Times New Roman" w:hAnsi="Times New Roman"/>
          <w:sz w:val="14"/>
          <w:szCs w:val="14"/>
          <w:color w:val="auto"/>
        </w:rPr>
      </w:pPr>
    </w:p>
    <w:p>
      <w:pPr>
        <w:ind w:left="1340" w:right="699" w:hanging="352"/>
        <w:spacing w:after="0" w:line="295"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ability to obtain, maintain and successfully enforce adequate patent and other intellectual property protection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any future product candidate;</w:t>
      </w:r>
    </w:p>
    <w:p>
      <w:pPr>
        <w:spacing w:after="0" w:line="35" w:lineRule="exact"/>
        <w:rPr>
          <w:rFonts w:ascii="Times New Roman" w:cs="Times New Roman" w:eastAsia="Times New Roman" w:hAnsi="Times New Roman"/>
          <w:sz w:val="14"/>
          <w:szCs w:val="14"/>
          <w:color w:val="auto"/>
        </w:rPr>
      </w:pPr>
    </w:p>
    <w:p>
      <w:pPr>
        <w:ind w:left="1340" w:right="1119" w:hanging="352"/>
        <w:spacing w:after="0" w:line="292"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use of the remaining net proceeds from the Silverback Therapeutics, Inc. (“Silverback”) initial public offering; and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statements of belief and any statement of assumptions underlying any of the foregoing.</w:t>
      </w:r>
    </w:p>
    <w:p>
      <w:pPr>
        <w:spacing w:after="0" w:line="183"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of this Quarterly Report. 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3" w:name="page4"/>
    <w:bookmarkEnd w:id="3"/>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Unless the context otherwise indicates, references in this Quarterly Report to the terms “ARS”, “the Company”, “we”, “our” and “us” refer to ARS Pharmaceuticals, Inc. and its consolidated subsidiaries, and references to our “common stock” refers to our voting common stock.</w:t>
      </w:r>
    </w:p>
    <w:p>
      <w:pPr>
        <w:spacing w:after="0" w:line="134" w:lineRule="exact"/>
        <w:rPr>
          <w:sz w:val="20"/>
          <w:szCs w:val="20"/>
          <w:color w:val="auto"/>
        </w:rPr>
      </w:pPr>
    </w:p>
    <w:p>
      <w:pPr>
        <w:ind w:left="640" w:right="719" w:firstLine="351"/>
        <w:spacing w:after="0" w:line="249" w:lineRule="auto"/>
        <w:rPr>
          <w:sz w:val="20"/>
          <w:szCs w:val="20"/>
          <w:color w:val="auto"/>
        </w:rPr>
      </w:pPr>
      <w:r>
        <w:rPr>
          <w:rFonts w:ascii="Times New Roman" w:cs="Times New Roman" w:eastAsia="Times New Roman" w:hAnsi="Times New Roman"/>
          <w:sz w:val="14"/>
          <w:szCs w:val="14"/>
          <w:i w:val="1"/>
          <w:iCs w:val="1"/>
          <w:color w:val="auto"/>
        </w:rPr>
        <w:t xml:space="preserve">neffy </w:t>
      </w:r>
      <w:r>
        <w:rPr>
          <w:rFonts w:ascii="Times New Roman" w:cs="Times New Roman" w:eastAsia="Times New Roman" w:hAnsi="Times New Roman"/>
          <w:sz w:val="14"/>
          <w:szCs w:val="14"/>
          <w:color w:val="auto"/>
        </w:rPr>
        <w:t>is a trademark of ours that we use in this Quarterly Report. This Quarterly Report also includes trademarks, trade names,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and service marks that are the property of other organizations. Solely for convenience, our trademarks and trade names referred to in this Quarterly Report appear without the </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or ™ symbols, but those references are not intended to indicate, in any way, that we will not assert, to the fullest extent under applicable law, our rights, or the right of the applicable licensor, to our trademark and trade names. The use or display of other companies’ trade names or trademarks do not suggest or imply a relationship or affiliation with, or endorsement or sponsorship of us by, any other companies.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SUMMARY OF RISKS ASSOCIATED WITH OUR BUSINESS</w:t>
      </w:r>
    </w:p>
    <w:p>
      <w:pPr>
        <w:spacing w:after="0" w:line="99"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An investment in shares of our common stock involves a high degree of risk. Below is a list of the more significant risks associated with our business. This summary does not address all of the risks that we face. Additional discussion of the risks listed in this summary, as well as other risks that we face, are set forth under Part II, Item 1A, “Risk Factors” in this Quarterly Report. Some of the material risks associated with our business include the following:</w:t>
      </w:r>
    </w:p>
    <w:p>
      <w:pPr>
        <w:spacing w:after="0" w:line="52" w:lineRule="exact"/>
        <w:rPr>
          <w:sz w:val="20"/>
          <w:szCs w:val="20"/>
          <w:color w:val="auto"/>
        </w:rPr>
      </w:pPr>
    </w:p>
    <w:p>
      <w:pPr>
        <w:ind w:left="1340" w:right="739" w:hanging="352"/>
        <w:spacing w:after="0" w:line="269"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are highly dependent on the successful commercialization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the United States and in the EU for its currently approved indications in those jurisdictions. To the extent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is not commercially successful, our business, financial condition and results of operations would be materially adversely affected, and the price of our common stock would likely decline.</w:t>
      </w:r>
    </w:p>
    <w:p>
      <w:pPr>
        <w:spacing w:after="0" w:line="51" w:lineRule="exact"/>
        <w:rPr>
          <w:rFonts w:ascii="Times New Roman" w:cs="Times New Roman" w:eastAsia="Times New Roman" w:hAnsi="Times New Roman"/>
          <w:sz w:val="14"/>
          <w:szCs w:val="14"/>
          <w:color w:val="auto"/>
        </w:rPr>
      </w:pPr>
    </w:p>
    <w:p>
      <w:pPr>
        <w:ind w:left="1340" w:right="819" w:hanging="352"/>
        <w:spacing w:after="0" w:line="269"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neffy </w:t>
      </w:r>
      <w:r>
        <w:rPr>
          <w:rFonts w:ascii="Times New Roman" w:cs="Times New Roman" w:eastAsia="Times New Roman" w:hAnsi="Times New Roman"/>
          <w:sz w:val="14"/>
          <w:szCs w:val="14"/>
          <w:color w:val="auto"/>
        </w:rPr>
        <w:t>and our current and future intranasal epinephrine technology product candidates may fail to achieve the degree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market acceptance by allergists, pediatricians and other physicians, patients, caregivers, third-party payors and others in the medical community necessary for commercial success, in which case we may not generate significant revenues or profits.</w:t>
      </w:r>
    </w:p>
    <w:p>
      <w:pPr>
        <w:spacing w:after="0" w:line="51" w:lineRule="exact"/>
        <w:rPr>
          <w:rFonts w:ascii="Times New Roman" w:cs="Times New Roman" w:eastAsia="Times New Roman" w:hAnsi="Times New Roman"/>
          <w:sz w:val="14"/>
          <w:szCs w:val="14"/>
          <w:color w:val="auto"/>
        </w:rPr>
      </w:pPr>
    </w:p>
    <w:p>
      <w:pPr>
        <w:ind w:left="1340" w:right="899" w:hanging="352"/>
        <w:spacing w:after="0" w:line="295"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we are unable to achieve and maintain adequate levels of third-party payor coverage and reimbursement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on reasonable pricing terms, its commercial success may be severely hindered.</w:t>
      </w:r>
    </w:p>
    <w:p>
      <w:pPr>
        <w:spacing w:after="0" w:line="33" w:lineRule="exact"/>
        <w:rPr>
          <w:rFonts w:ascii="Times New Roman" w:cs="Times New Roman" w:eastAsia="Times New Roman" w:hAnsi="Times New Roman"/>
          <w:sz w:val="14"/>
          <w:szCs w:val="14"/>
          <w:color w:val="auto"/>
        </w:rPr>
      </w:pPr>
    </w:p>
    <w:p>
      <w:pPr>
        <w:ind w:left="1340" w:right="719" w:hanging="352"/>
        <w:spacing w:after="0" w:line="266"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Competitive products may reduce or eliminate the commercial opportunity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and future intranasal epinephrine technology product candidates. If our competitors develop technologies or product candidates more rapidly than us, or their technologies or product candidates are more effective or safer than ours, our ability to develop and successfully 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and future intranasal epinephrine technology product candidates may be adversely affected.</w:t>
      </w:r>
    </w:p>
    <w:p>
      <w:pPr>
        <w:spacing w:after="0" w:line="54" w:lineRule="exact"/>
        <w:rPr>
          <w:rFonts w:ascii="Times New Roman" w:cs="Times New Roman" w:eastAsia="Times New Roman" w:hAnsi="Times New Roman"/>
          <w:sz w:val="14"/>
          <w:szCs w:val="14"/>
          <w:color w:val="auto"/>
        </w:rPr>
      </w:pPr>
    </w:p>
    <w:p>
      <w:pPr>
        <w:jc w:val="both"/>
        <w:ind w:left="1340" w:right="899" w:hanging="352"/>
        <w:spacing w:after="0" w:line="274"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we are unable to successfully develop our current or future intranasal epinephrine technology product candidates, or </w:t>
      </w:r>
      <w:r>
        <w:rPr>
          <w:rFonts w:ascii="Times New Roman" w:cs="Times New Roman" w:eastAsia="Times New Roman" w:hAnsi="Times New Roman"/>
          <w:sz w:val="14"/>
          <w:szCs w:val="14"/>
          <w:i w:val="1"/>
          <w:iCs w:val="1"/>
          <w:color w:val="auto"/>
        </w:rPr>
        <w:t xml:space="preserve">neffy </w:t>
      </w:r>
      <w:r>
        <w:rPr>
          <w:rFonts w:ascii="Times New Roman" w:cs="Times New Roman" w:eastAsia="Times New Roman" w:hAnsi="Times New Roman"/>
          <w:sz w:val="14"/>
          <w:szCs w:val="14"/>
          <w:color w:val="auto"/>
        </w:rPr>
        <w:t>for additional indications, or experience significant delays in doing so, the commercial potential of our current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future intranasal epinephrine technology product candidates 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will be more limited.</w:t>
      </w:r>
    </w:p>
    <w:p>
      <w:pPr>
        <w:spacing w:after="0" w:line="50" w:lineRule="exact"/>
        <w:rPr>
          <w:rFonts w:ascii="Times New Roman" w:cs="Times New Roman" w:eastAsia="Times New Roman" w:hAnsi="Times New Roman"/>
          <w:sz w:val="14"/>
          <w:szCs w:val="14"/>
          <w:color w:val="auto"/>
        </w:rPr>
      </w:pPr>
    </w:p>
    <w:p>
      <w:pPr>
        <w:ind w:left="1340" w:right="659" w:hanging="352"/>
        <w:spacing w:after="0" w:line="263"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U.S. Food and Drug Administration (“FDA”) does not conclude that our current or future intranasal epinephrine technology product candidates, 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for additional indications, satisfy the requirements for the Section 505(b)(2) regulatory approval pathway, or if the requirements for such product candidates or additional indications under Section 505(b)(2) are not as we expect, the approval pathway for those product candidates or additional indications will likely take significantly longer, cost significantly more and entail significantly greater complications and risks than anticipated, and in either case may not be successful.</w:t>
      </w:r>
    </w:p>
    <w:p>
      <w:pPr>
        <w:spacing w:after="0" w:line="58" w:lineRule="exact"/>
        <w:rPr>
          <w:rFonts w:ascii="Times New Roman" w:cs="Times New Roman" w:eastAsia="Times New Roman" w:hAnsi="Times New Roman"/>
          <w:sz w:val="14"/>
          <w:szCs w:val="14"/>
          <w:color w:val="auto"/>
        </w:rPr>
      </w:pPr>
    </w:p>
    <w:p>
      <w:pPr>
        <w:ind w:left="1340" w:right="779" w:hanging="352"/>
        <w:spacing w:after="0" w:line="274"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Product liability lawsuits against us or any of our current and future licensing and collaboration partners could divert our resources and attention, cause us to incur substantial liabilities and limit commercialization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w:t>
      </w:r>
    </w:p>
    <w:p>
      <w:pPr>
        <w:spacing w:after="0" w:line="50" w:lineRule="exact"/>
        <w:rPr>
          <w:rFonts w:ascii="Times New Roman" w:cs="Times New Roman" w:eastAsia="Times New Roman" w:hAnsi="Times New Roman"/>
          <w:sz w:val="14"/>
          <w:szCs w:val="14"/>
          <w:color w:val="auto"/>
        </w:rPr>
      </w:pPr>
    </w:p>
    <w:p>
      <w:pPr>
        <w:ind w:left="1340" w:right="659" w:hanging="352"/>
        <w:spacing w:after="0" w:line="268"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52" w:lineRule="exact"/>
        <w:rPr>
          <w:rFonts w:ascii="Times New Roman" w:cs="Times New Roman" w:eastAsia="Times New Roman" w:hAnsi="Times New Roman"/>
          <w:sz w:val="14"/>
          <w:szCs w:val="14"/>
          <w:color w:val="auto"/>
        </w:rPr>
      </w:pPr>
    </w:p>
    <w:p>
      <w:pPr>
        <w:ind w:left="1340" w:right="659" w:hanging="352"/>
        <w:spacing w:after="0" w:line="295"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rely completely on third parties to manufacture and warehouse both our domestic and international supply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and future intranasal epinephrine technology product candidates.</w:t>
      </w:r>
    </w:p>
    <w:p>
      <w:pPr>
        <w:spacing w:after="0" w:line="33" w:lineRule="exact"/>
        <w:rPr>
          <w:rFonts w:ascii="Times New Roman" w:cs="Times New Roman" w:eastAsia="Times New Roman" w:hAnsi="Times New Roman"/>
          <w:sz w:val="14"/>
          <w:szCs w:val="14"/>
          <w:color w:val="auto"/>
        </w:rPr>
      </w:pPr>
    </w:p>
    <w:p>
      <w:pPr>
        <w:ind w:left="1340" w:right="699" w:hanging="352"/>
        <w:spacing w:after="0" w:line="269"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are dependent on international third-party licensees and assignees for the development and commercialization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and future intranasal epinephrine technology product candidates outside the United States. If these third parties are not successful in their development and commercialization efforts or if these third parties fail to meet their contractual, regulatory or other obligations, our business and results of operations could be adversely affected.</w:t>
      </w:r>
    </w:p>
    <w:p>
      <w:pPr>
        <w:spacing w:after="0" w:line="53" w:lineRule="exact"/>
        <w:rPr>
          <w:rFonts w:ascii="Times New Roman" w:cs="Times New Roman" w:eastAsia="Times New Roman" w:hAnsi="Times New Roman"/>
          <w:sz w:val="14"/>
          <w:szCs w:val="14"/>
          <w:color w:val="auto"/>
        </w:rPr>
      </w:pPr>
    </w:p>
    <w:p>
      <w:pPr>
        <w:ind w:left="1340" w:right="95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trade policies, including tariffs, sanctions and trade barriers may adversely affect our business, financial condition, results of operations and prospects.</w:t>
      </w:r>
    </w:p>
    <w:p>
      <w:pPr>
        <w:spacing w:after="0" w:line="37" w:lineRule="exact"/>
        <w:rPr>
          <w:rFonts w:ascii="Times New Roman" w:cs="Times New Roman" w:eastAsia="Times New Roman" w:hAnsi="Times New Roman"/>
          <w:sz w:val="14"/>
          <w:szCs w:val="14"/>
          <w:color w:val="auto"/>
        </w:rPr>
      </w:pPr>
    </w:p>
    <w:p>
      <w:pPr>
        <w:ind w:left="1340" w:right="83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that our timing of sales and results of operations will fluctuate for the foreseeable future, which may make it difficult to predict our future performance from period to period.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significant losses since our inception.</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need additional funding, and if we are unable to raise capital when needed, we could be forced to delay, reduce or eliminate our product development activities or commercialization efforts.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5" w:name="page6"/>
    <w:bookmarkEnd w:id="5"/>
    <w:p>
      <w:pPr>
        <w:ind w:left="1340" w:right="719" w:hanging="352"/>
        <w:spacing w:after="0" w:line="295"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commercial success depends on our ability to obtain and maintain sufficient intellectual property protection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our current and future intranasal epinephrine technology product candidates and other proprietary technologies.</w:t>
      </w:r>
    </w:p>
    <w:p>
      <w:pPr>
        <w:spacing w:after="0" w:line="35"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is highly dependent on our ability to attract and retain highly skilled executive officers and employees.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ARS Pharmaceuticals,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par value and share amounts)</w:t>
      </w:r>
    </w:p>
    <w:p>
      <w:pPr>
        <w:spacing w:after="0" w:line="175"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80" w:type="dxa"/>
            <w:vAlign w:val="bottom"/>
          </w:tcPr>
          <w:p>
            <w:pPr>
              <w:spacing w:after="0"/>
              <w:rPr>
                <w:sz w:val="11"/>
                <w:szCs w:val="11"/>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09"/>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69"/>
              <w:spacing w:after="0" w:line="109"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39,864</w:t>
            </w:r>
          </w:p>
        </w:tc>
        <w:tc>
          <w:tcPr>
            <w:tcW w:w="12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50,817</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Short-term investments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235,863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263,205</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9,303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8,175</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5,212</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11,560</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6,886</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303,860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334,295</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Long-term inventories</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11,939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5,307</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Fixed assets, net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7,371</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3,131</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3,114</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327,318</w:t>
            </w:r>
          </w:p>
        </w:tc>
        <w:tc>
          <w:tcPr>
            <w:tcW w:w="120" w:type="dxa"/>
            <w:vAlign w:val="bottom"/>
          </w:tcPr>
          <w:p>
            <w:pPr>
              <w:spacing w:after="0"/>
              <w:rPr>
                <w:sz w:val="14"/>
                <w:szCs w:val="14"/>
                <w:color w:val="auto"/>
              </w:rPr>
            </w:pPr>
          </w:p>
        </w:tc>
        <w:tc>
          <w:tcPr>
            <w:tcW w:w="400" w:type="dxa"/>
            <w:vAlign w:val="bottom"/>
            <w:gridSpan w:val="2"/>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351,153</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300" w:type="dxa"/>
            <w:vAlign w:val="bottom"/>
            <w:shd w:val="clear" w:color="auto" w:fill="CFF0FC"/>
          </w:tcPr>
          <w:p>
            <w:pPr>
              <w:ind w:left="120"/>
              <w:spacing w:after="0" w:line="157" w:lineRule="exact"/>
              <w:rPr>
                <w:sz w:val="20"/>
                <w:szCs w:val="20"/>
                <w:color w:val="auto"/>
              </w:rPr>
            </w:pPr>
            <w:r>
              <w:rPr>
                <w:rFonts w:ascii="Times New Roman" w:cs="Times New Roman" w:eastAsia="Times New Roman" w:hAnsi="Times New Roman"/>
                <w:sz w:val="14"/>
                <w:szCs w:val="14"/>
                <w:color w:val="auto"/>
              </w:rPr>
              <w:t>Accounts payable and accrued liabilities (including related party amounts of $710 and</w:t>
            </w: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7"/>
        </w:trPr>
        <w:tc>
          <w:tcPr>
            <w:tcW w:w="20" w:type="dxa"/>
            <w:vAlign w:val="bottom"/>
          </w:tcPr>
          <w:p>
            <w:pPr>
              <w:spacing w:after="0"/>
              <w:rPr>
                <w:sz w:val="16"/>
                <w:szCs w:val="16"/>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$656, respectively)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27,009</w:t>
            </w:r>
          </w:p>
        </w:tc>
        <w:tc>
          <w:tcPr>
            <w:tcW w:w="12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22,841</w:t>
            </w:r>
          </w:p>
        </w:tc>
        <w:tc>
          <w:tcPr>
            <w:tcW w:w="80" w:type="dxa"/>
            <w:vAlign w:val="bottom"/>
            <w:shd w:val="clear" w:color="auto" w:fill="CFF0FC"/>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Contract liability, current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Lease liability</w:t>
            </w:r>
          </w:p>
        </w:tc>
        <w:tc>
          <w:tcPr>
            <w:tcW w:w="1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23,440</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Financing liability</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69,383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69,383</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liability, net of current portion</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98,344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94,355</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 (Note 9)</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3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Preferred stock, $0.0001 par value per share; 10,000,000 shares authorized at March 31,</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2"/>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2025 and December 31, 2024; no shares issued and outstanding at March 31, 2025 and</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6"/>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58"/>
        </w:trPr>
        <w:tc>
          <w:tcPr>
            <w:tcW w:w="20" w:type="dxa"/>
            <w:vAlign w:val="bottom"/>
          </w:tcPr>
          <w:p>
            <w:pPr>
              <w:spacing w:after="0"/>
              <w:rPr>
                <w:sz w:val="13"/>
                <w:szCs w:val="13"/>
                <w:color w:val="auto"/>
              </w:rPr>
            </w:pPr>
          </w:p>
        </w:tc>
        <w:tc>
          <w:tcPr>
            <w:tcW w:w="530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Common stock, $0.0001 par value per share; 200,000,000 shares authorized at March 31,</w:t>
            </w: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2025 and December 31, 2024; 98,129,804 and 97,954,172 shares issued and outstanding</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at March 31, 2025 and December 31, 2024, respectively</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FF0FC"/>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386,137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379,873</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Accumulated other comprehensive gain, net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1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(157,245)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(123,305)</w:t>
            </w:r>
          </w:p>
        </w:tc>
      </w:tr>
      <w:tr>
        <w:trPr>
          <w:trHeight w:val="163"/>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228,974</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256,798</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327,318</w:t>
            </w:r>
          </w:p>
        </w:tc>
        <w:tc>
          <w:tcPr>
            <w:tcW w:w="120" w:type="dxa"/>
            <w:vAlign w:val="bottom"/>
          </w:tcPr>
          <w:p>
            <w:pPr>
              <w:spacing w:after="0"/>
              <w:rPr>
                <w:sz w:val="14"/>
                <w:szCs w:val="14"/>
                <w:color w:val="auto"/>
              </w:rPr>
            </w:pPr>
          </w:p>
        </w:tc>
        <w:tc>
          <w:tcPr>
            <w:tcW w:w="400" w:type="dxa"/>
            <w:vAlign w:val="bottom"/>
            <w:gridSpan w:val="2"/>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351,153</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-3354705</wp:posOffset>
            </wp:positionV>
            <wp:extent cx="4762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-3354705</wp:posOffset>
            </wp:positionV>
            <wp:extent cx="4762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-2693035</wp:posOffset>
            </wp:positionV>
            <wp:extent cx="4762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-2693035</wp:posOffset>
            </wp:positionV>
            <wp:extent cx="4762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-1901825</wp:posOffset>
            </wp:positionV>
            <wp:extent cx="4762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-1901825</wp:posOffset>
            </wp:positionV>
            <wp:extent cx="4762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-135890</wp:posOffset>
            </wp:positionV>
            <wp:extent cx="4762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ARS Pharmaceuticals,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Loss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4"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20" w:type="dxa"/>
            <w:vAlign w:val="bottom"/>
            <w:gridSpan w:val="6"/>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80" w:type="dxa"/>
            <w:vAlign w:val="bottom"/>
            <w:tcBorders>
              <w:top w:val="single" w:sz="8" w:color="auto"/>
              <w:bottom w:val="single" w:sz="8" w:color="auto"/>
            </w:tcBorders>
          </w:tcPr>
          <w:p>
            <w:pPr>
              <w:spacing w:after="0"/>
              <w:rPr>
                <w:sz w:val="9"/>
                <w:szCs w:val="9"/>
                <w:color w:val="auto"/>
              </w:rPr>
            </w:pPr>
          </w:p>
        </w:tc>
        <w:tc>
          <w:tcPr>
            <w:tcW w:w="920" w:type="dxa"/>
            <w:vAlign w:val="bottom"/>
            <w:tcBorders>
              <w:top w:val="single" w:sz="8" w:color="auto"/>
              <w:bottom w:val="single" w:sz="8" w:color="auto"/>
            </w:tcBorders>
          </w:tcPr>
          <w:p>
            <w:pPr>
              <w:jc w:val="right"/>
              <w:ind w:right="41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80" w:type="dxa"/>
            <w:vAlign w:val="bottom"/>
            <w:tcBorders>
              <w:top w:val="single" w:sz="8" w:color="auto"/>
              <w:bottom w:val="single" w:sz="8" w:color="auto"/>
            </w:tcBorders>
          </w:tcPr>
          <w:p>
            <w:pPr>
              <w:spacing w:after="0"/>
              <w:rPr>
                <w:sz w:val="9"/>
                <w:szCs w:val="9"/>
                <w:color w:val="auto"/>
              </w:rPr>
            </w:pPr>
          </w:p>
        </w:tc>
        <w:tc>
          <w:tcPr>
            <w:tcW w:w="940" w:type="dxa"/>
            <w:vAlign w:val="bottom"/>
            <w:tcBorders>
              <w:top w:val="single" w:sz="8" w:color="auto"/>
              <w:bottom w:val="single" w:sz="8" w:color="auto"/>
            </w:tcBorders>
          </w:tcPr>
          <w:p>
            <w:pPr>
              <w:jc w:val="right"/>
              <w:ind w:right="429"/>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 revenue, net</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7,763</w:t>
            </w:r>
          </w:p>
        </w:tc>
        <w:tc>
          <w:tcPr>
            <w:tcW w:w="12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Revenue under collaboration agreements</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goods sold (including related party amounts of $488 and $0, respectively)</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20" w:type="dxa"/>
            <w:vAlign w:val="bottom"/>
            <w:shd w:val="clear" w:color="auto" w:fill="CFF0FC"/>
          </w:tcPr>
          <w:p>
            <w:pPr>
              <w:ind w:left="120"/>
              <w:spacing w:after="0" w:line="157" w:lineRule="exact"/>
              <w:rPr>
                <w:sz w:val="20"/>
                <w:szCs w:val="20"/>
                <w:color w:val="auto"/>
              </w:rPr>
            </w:pPr>
            <w:r>
              <w:rPr>
                <w:rFonts w:ascii="Times New Roman" w:cs="Times New Roman" w:eastAsia="Times New Roman" w:hAnsi="Times New Roman"/>
                <w:sz w:val="14"/>
                <w:szCs w:val="14"/>
                <w:color w:val="auto"/>
              </w:rPr>
              <w:t>Research and development (including related party amounts of $666 and $726,</w:t>
            </w: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2,952</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20" w:type="dxa"/>
            <w:vAlign w:val="bottom"/>
          </w:tcPr>
          <w:p>
            <w:pPr>
              <w:ind w:left="120"/>
              <w:spacing w:after="0" w:line="157" w:lineRule="exact"/>
              <w:rPr>
                <w:sz w:val="20"/>
                <w:szCs w:val="20"/>
                <w:color w:val="auto"/>
              </w:rPr>
            </w:pPr>
            <w:r>
              <w:rPr>
                <w:rFonts w:ascii="Times New Roman" w:cs="Times New Roman" w:eastAsia="Times New Roman" w:hAnsi="Times New Roman"/>
                <w:sz w:val="14"/>
                <w:szCs w:val="14"/>
                <w:color w:val="auto"/>
              </w:rPr>
              <w:t>Selling, general and administrative (including related party amounts of $124 and</w:t>
            </w: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41,104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$93, respectively)</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2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45,150</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13,192</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2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(37,177)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(13,192)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2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(33,940)</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(10,292)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Change in unrealized gains and losses on available-for-sale securities</w:t>
            </w:r>
          </w:p>
        </w:tc>
        <w:tc>
          <w:tcPr>
            <w:tcW w:w="2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(34,088)</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50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28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FF0FC"/>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(0.35)</w:t>
            </w:r>
          </w:p>
        </w:tc>
        <w:tc>
          <w:tcPr>
            <w:tcW w:w="360" w:type="dxa"/>
            <w:vAlign w:val="bottom"/>
            <w:gridSpan w:val="2"/>
            <w:shd w:val="clear" w:color="auto" w:fill="CFF0FC"/>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Weighted-average shares outstanding used in computing net loss per share, basic</w:t>
            </w: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98,060,636</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96,486,480</w:t>
            </w: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50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and diluted</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4373880</wp:posOffset>
            </wp:positionH>
            <wp:positionV relativeFrom="paragraph">
              <wp:posOffset>-940435</wp:posOffset>
            </wp:positionV>
            <wp:extent cx="4762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-940435</wp:posOffset>
            </wp:positionV>
            <wp:extent cx="4762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-715645</wp:posOffset>
            </wp:positionV>
            <wp:extent cx="4762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-715645</wp:posOffset>
            </wp:positionV>
            <wp:extent cx="4762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-483235</wp:posOffset>
            </wp:positionV>
            <wp:extent cx="4762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-483235</wp:posOffset>
            </wp:positionV>
            <wp:extent cx="4762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-238125</wp:posOffset>
            </wp:positionV>
            <wp:extent cx="4762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-224155</wp:posOffset>
            </wp:positionV>
            <wp:extent cx="4762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-238125</wp:posOffset>
            </wp:positionV>
            <wp:extent cx="4762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-224155</wp:posOffset>
            </wp:positionV>
            <wp:extent cx="476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ARS Pharmaceuticals,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20" w:type="dxa"/>
            <w:vAlign w:val="bottom"/>
          </w:tcPr>
          <w:p>
            <w:pPr>
              <w:spacing w:after="0"/>
              <w:rPr>
                <w:sz w:val="11"/>
                <w:szCs w:val="11"/>
                <w:color w:val="auto"/>
              </w:rPr>
            </w:pPr>
          </w:p>
        </w:tc>
        <w:tc>
          <w:tcPr>
            <w:tcW w:w="1240" w:type="dxa"/>
            <w:vAlign w:val="bottom"/>
            <w:gridSpan w:val="3"/>
            <w:vMerge w:val="restart"/>
          </w:tcPr>
          <w:p>
            <w:pPr>
              <w:jc w:val="center"/>
              <w:ind w:left="614"/>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8"/>
        </w:trPr>
        <w:tc>
          <w:tcPr>
            <w:tcW w:w="42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300"/>
              <w:spacing w:after="0" w:line="119"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220" w:type="dxa"/>
            <w:vAlign w:val="bottom"/>
          </w:tcPr>
          <w:p>
            <w:pPr>
              <w:spacing w:after="0"/>
              <w:rPr>
                <w:sz w:val="11"/>
                <w:szCs w:val="11"/>
                <w:color w:val="auto"/>
              </w:rPr>
            </w:pPr>
          </w:p>
        </w:tc>
        <w:tc>
          <w:tcPr>
            <w:tcW w:w="1100" w:type="dxa"/>
            <w:vAlign w:val="bottom"/>
            <w:tcBorders>
              <w:bottom w:val="single" w:sz="8" w:color="auto"/>
            </w:tcBorders>
            <w:gridSpan w:val="2"/>
          </w:tcPr>
          <w:p>
            <w:pPr>
              <w:jc w:val="center"/>
              <w:ind w:left="754"/>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20" w:type="dxa"/>
            <w:vAlign w:val="bottom"/>
          </w:tcPr>
          <w:p>
            <w:pPr>
              <w:spacing w:after="0"/>
              <w:rPr>
                <w:sz w:val="11"/>
                <w:szCs w:val="11"/>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60" w:type="dxa"/>
            <w:vAlign w:val="bottom"/>
          </w:tcPr>
          <w:p>
            <w:pPr>
              <w:spacing w:after="0"/>
              <w:rPr>
                <w:sz w:val="11"/>
                <w:szCs w:val="11"/>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09"/>
        </w:trPr>
        <w:tc>
          <w:tcPr>
            <w:tcW w:w="4220" w:type="dxa"/>
            <w:vAlign w:val="bottom"/>
          </w:tcPr>
          <w:p>
            <w:pPr>
              <w:spacing w:after="0"/>
              <w:rPr>
                <w:sz w:val="9"/>
                <w:szCs w:val="9"/>
                <w:color w:val="auto"/>
              </w:rPr>
            </w:pPr>
          </w:p>
        </w:tc>
        <w:tc>
          <w:tcPr>
            <w:tcW w:w="880" w:type="dxa"/>
            <w:vAlign w:val="bottom"/>
            <w:tcBorders>
              <w:bottom w:val="single" w:sz="8" w:color="auto"/>
            </w:tcBorders>
          </w:tcPr>
          <w:p>
            <w:pPr>
              <w:jc w:val="right"/>
              <w:ind w:right="214"/>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151"/>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9"/>
                <w:szCs w:val="9"/>
                <w:color w:val="auto"/>
              </w:rPr>
            </w:pPr>
          </w:p>
        </w:tc>
        <w:tc>
          <w:tcPr>
            <w:tcW w:w="820" w:type="dxa"/>
            <w:vAlign w:val="bottom"/>
            <w:tcBorders>
              <w:bottom w:val="single" w:sz="8" w:color="auto"/>
            </w:tcBorders>
            <w:gridSpan w:val="2"/>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rPr>
              <w:t>Paid-in Capital</w:t>
            </w: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center"/>
              <w:ind w:right="33"/>
              <w:spacing w:after="0" w:line="109" w:lineRule="exact"/>
              <w:rPr>
                <w:sz w:val="20"/>
                <w:szCs w:val="20"/>
                <w:color w:val="auto"/>
              </w:rPr>
            </w:pPr>
            <w:r>
              <w:rPr>
                <w:rFonts w:ascii="Times New Roman" w:cs="Times New Roman" w:eastAsia="Times New Roman" w:hAnsi="Times New Roman"/>
                <w:sz w:val="11"/>
                <w:szCs w:val="11"/>
                <w:b w:val="1"/>
                <w:bCs w:val="1"/>
                <w:color w:val="auto"/>
              </w:rPr>
              <w:t>Gain, Net</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center"/>
              <w:ind w:right="33"/>
              <w:spacing w:after="0" w:line="109"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right="93"/>
              <w:spacing w:after="0" w:line="109" w:lineRule="exact"/>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97,954,172</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379,873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(123,305)</w:t>
            </w: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256,798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2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Exercise of common stock options and release of restricted stock</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175,632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5,539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(148)</w:t>
            </w:r>
          </w:p>
        </w:tc>
        <w:tc>
          <w:tcPr>
            <w:tcW w:w="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(33,940)</w:t>
            </w: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(34,088)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98,129,804</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386,137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(157,245)</w:t>
            </w: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228,974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220" w:type="dxa"/>
            <w:vAlign w:val="bottom"/>
          </w:tcPr>
          <w:p>
            <w:pPr>
              <w:spacing w:after="0"/>
              <w:rPr>
                <w:sz w:val="21"/>
                <w:szCs w:val="21"/>
                <w:color w:val="auto"/>
              </w:rPr>
            </w:pPr>
          </w:p>
        </w:tc>
        <w:tc>
          <w:tcPr>
            <w:tcW w:w="1240" w:type="dxa"/>
            <w:vAlign w:val="bottom"/>
            <w:gridSpan w:val="3"/>
            <w:vMerge w:val="restart"/>
          </w:tcPr>
          <w:p>
            <w:pPr>
              <w:jc w:val="center"/>
              <w:ind w:left="614"/>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8"/>
        </w:trPr>
        <w:tc>
          <w:tcPr>
            <w:tcW w:w="42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300"/>
              <w:spacing w:after="0" w:line="119"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220" w:type="dxa"/>
            <w:vAlign w:val="bottom"/>
          </w:tcPr>
          <w:p>
            <w:pPr>
              <w:spacing w:after="0"/>
              <w:rPr>
                <w:sz w:val="11"/>
                <w:szCs w:val="11"/>
                <w:color w:val="auto"/>
              </w:rPr>
            </w:pPr>
          </w:p>
        </w:tc>
        <w:tc>
          <w:tcPr>
            <w:tcW w:w="1100" w:type="dxa"/>
            <w:vAlign w:val="bottom"/>
            <w:tcBorders>
              <w:bottom w:val="single" w:sz="8" w:color="auto"/>
            </w:tcBorders>
            <w:gridSpan w:val="2"/>
          </w:tcPr>
          <w:p>
            <w:pPr>
              <w:jc w:val="center"/>
              <w:ind w:left="754"/>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20" w:type="dxa"/>
            <w:vAlign w:val="bottom"/>
          </w:tcPr>
          <w:p>
            <w:pPr>
              <w:spacing w:after="0"/>
              <w:rPr>
                <w:sz w:val="11"/>
                <w:szCs w:val="11"/>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60" w:type="dxa"/>
            <w:vAlign w:val="bottom"/>
          </w:tcPr>
          <w:p>
            <w:pPr>
              <w:spacing w:after="0"/>
              <w:rPr>
                <w:sz w:val="11"/>
                <w:szCs w:val="11"/>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09"/>
        </w:trPr>
        <w:tc>
          <w:tcPr>
            <w:tcW w:w="4220" w:type="dxa"/>
            <w:vAlign w:val="bottom"/>
          </w:tcPr>
          <w:p>
            <w:pPr>
              <w:spacing w:after="0"/>
              <w:rPr>
                <w:sz w:val="9"/>
                <w:szCs w:val="9"/>
                <w:color w:val="auto"/>
              </w:rPr>
            </w:pPr>
          </w:p>
        </w:tc>
        <w:tc>
          <w:tcPr>
            <w:tcW w:w="880" w:type="dxa"/>
            <w:vAlign w:val="bottom"/>
            <w:tcBorders>
              <w:bottom w:val="single" w:sz="8" w:color="auto"/>
            </w:tcBorders>
          </w:tcPr>
          <w:p>
            <w:pPr>
              <w:jc w:val="right"/>
              <w:ind w:right="214"/>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151"/>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9"/>
                <w:szCs w:val="9"/>
                <w:color w:val="auto"/>
              </w:rPr>
            </w:pPr>
          </w:p>
        </w:tc>
        <w:tc>
          <w:tcPr>
            <w:tcW w:w="820" w:type="dxa"/>
            <w:vAlign w:val="bottom"/>
            <w:tcBorders>
              <w:bottom w:val="single" w:sz="8" w:color="auto"/>
            </w:tcBorders>
            <w:gridSpan w:val="2"/>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rPr>
              <w:t>Paid-in Capital</w:t>
            </w:r>
          </w:p>
        </w:tc>
        <w:tc>
          <w:tcPr>
            <w:tcW w:w="220" w:type="dxa"/>
            <w:vAlign w:val="bottom"/>
          </w:tcPr>
          <w:p>
            <w:pPr>
              <w:spacing w:after="0"/>
              <w:rPr>
                <w:sz w:val="9"/>
                <w:szCs w:val="9"/>
                <w:color w:val="auto"/>
              </w:rPr>
            </w:pPr>
          </w:p>
        </w:tc>
        <w:tc>
          <w:tcPr>
            <w:tcW w:w="820" w:type="dxa"/>
            <w:vAlign w:val="bottom"/>
            <w:tcBorders>
              <w:bottom w:val="single" w:sz="8" w:color="auto"/>
            </w:tcBorders>
            <w:gridSpan w:val="2"/>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rPr>
              <w:t>Gain (Loss), Net</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center"/>
              <w:ind w:right="33"/>
              <w:spacing w:after="0" w:line="109"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right="93"/>
              <w:spacing w:after="0" w:line="109" w:lineRule="exact"/>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96,414,963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362,004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(131,303)</w:t>
            </w: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230,760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2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Exercise of common stock options and release of restricted stock</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159,086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(173)</w:t>
            </w:r>
          </w:p>
        </w:tc>
        <w:tc>
          <w:tcPr>
            <w:tcW w:w="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(10,292)</w:t>
            </w: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(10,465)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96,574,049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365,577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(124)</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(141,595)</w:t>
            </w: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223,868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3240405</wp:posOffset>
            </wp:positionH>
            <wp:positionV relativeFrom="paragraph">
              <wp:posOffset>-1124585</wp:posOffset>
            </wp:positionV>
            <wp:extent cx="6794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3240405</wp:posOffset>
            </wp:positionH>
            <wp:positionV relativeFrom="paragraph">
              <wp:posOffset>-1110615</wp:posOffset>
            </wp:positionV>
            <wp:extent cx="6794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-1124585</wp:posOffset>
            </wp:positionV>
            <wp:extent cx="6794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-1110615</wp:posOffset>
            </wp:positionV>
            <wp:extent cx="6794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-1124585</wp:posOffset>
            </wp:positionV>
            <wp:extent cx="6794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-1110615</wp:posOffset>
            </wp:positionV>
            <wp:extent cx="6794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-1124585</wp:posOffset>
            </wp:positionV>
            <wp:extent cx="6159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-1110615</wp:posOffset>
            </wp:positionV>
            <wp:extent cx="6159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-1124585</wp:posOffset>
            </wp:positionV>
            <wp:extent cx="6159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-1110615</wp:posOffset>
            </wp:positionV>
            <wp:extent cx="6159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-1124585</wp:posOffset>
            </wp:positionV>
            <wp:extent cx="6159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-1110615</wp:posOffset>
            </wp:positionV>
            <wp:extent cx="6159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3240405</wp:posOffset>
            </wp:positionH>
            <wp:positionV relativeFrom="paragraph">
              <wp:posOffset>-19685</wp:posOffset>
            </wp:positionV>
            <wp:extent cx="6794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3240405</wp:posOffset>
            </wp:positionH>
            <wp:positionV relativeFrom="paragraph">
              <wp:posOffset>-6350</wp:posOffset>
            </wp:positionV>
            <wp:extent cx="6794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-19685</wp:posOffset>
            </wp:positionV>
            <wp:extent cx="6794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-6350</wp:posOffset>
            </wp:positionV>
            <wp:extent cx="6794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-19685</wp:posOffset>
            </wp:positionV>
            <wp:extent cx="6794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-6350</wp:posOffset>
            </wp:positionV>
            <wp:extent cx="6794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-19685</wp:posOffset>
            </wp:positionV>
            <wp:extent cx="6159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-6350</wp:posOffset>
            </wp:positionV>
            <wp:extent cx="6159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-19685</wp:posOffset>
            </wp:positionV>
            <wp:extent cx="6159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-6350</wp:posOffset>
            </wp:positionV>
            <wp:extent cx="6159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-19685</wp:posOffset>
            </wp:positionV>
            <wp:extent cx="6159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-6350</wp:posOffset>
            </wp:positionV>
            <wp:extent cx="6159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385445</wp:posOffset>
            </wp:positionV>
            <wp:extent cx="722249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320"/>
          </w:cols>
          <w:pgMar w:left="820" w:top="832" w:right="7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ARS Pharmaceuticals,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4"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0" w:type="dxa"/>
            <w:vAlign w:val="bottom"/>
            <w:gridSpan w:val="6"/>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5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69"/>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(33,940)</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(10,292)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Non-cash adjustments to reconcile net loss to net cash used in operating activities:</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Accretion on investments, net of amortization</w:t>
            </w:r>
          </w:p>
        </w:tc>
        <w:tc>
          <w:tcPr>
            <w:tcW w:w="22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(1,961)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(1,980)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(1,128)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(8,449)</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2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(4,796)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Donation of equipment</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Operating right-of-use assets and lease liabilities, net</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Contract liability</w:t>
            </w:r>
          </w:p>
        </w:tc>
        <w:tc>
          <w:tcPr>
            <w:tcW w:w="22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and cash equivalents used in operating activities</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(40,742)</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(6,710)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Purchases of short-term investments, available-for-sale</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(34,345)</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(63,430)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Maturities of short-term investments, available-for-sale</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Net cash and cash equivalents provided by (used in) investing activities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(8,513)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exercise of common stock options</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and cash equivalents provided by financing activities</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22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(10,953)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(14,965)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50,817</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70,971</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39,864</w:t>
            </w:r>
          </w:p>
        </w:tc>
        <w:tc>
          <w:tcPr>
            <w:tcW w:w="12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0</wp:posOffset>
            </wp:positionV>
            <wp:extent cx="4909820" cy="1092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09820" cy="10922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-803910</wp:posOffset>
            </wp:positionV>
            <wp:extent cx="4762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-803910</wp:posOffset>
            </wp:positionV>
            <wp:extent cx="4762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-135890</wp:posOffset>
            </wp:positionV>
            <wp:extent cx="4762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p>
      <w:pPr>
        <w:spacing w:after="0" w:line="10" w:lineRule="exact"/>
        <w:rPr>
          <w:sz w:val="20"/>
          <w:szCs w:val="20"/>
          <w:color w:val="auto"/>
        </w:rPr>
      </w:pPr>
    </w:p>
    <w:p>
      <w:pPr>
        <w:ind w:left="1360" w:right="739" w:hanging="713"/>
        <w:spacing w:after="0" w:line="384" w:lineRule="auto"/>
        <w:rPr>
          <w:sz w:val="20"/>
          <w:szCs w:val="20"/>
          <w:color w:val="auto"/>
        </w:rPr>
      </w:pPr>
      <w:r>
        <w:rPr>
          <w:rFonts w:ascii="Times New Roman" w:cs="Times New Roman" w:eastAsia="Times New Roman" w:hAnsi="Times New Roman"/>
          <w:sz w:val="14"/>
          <w:szCs w:val="14"/>
          <w:color w:val="auto"/>
        </w:rPr>
        <w:t>Remeasurement of right-of-use asset and lease liability from lease modification</w:t>
      </w:r>
      <w:r>
        <w:rPr>
          <w:sz w:val="20"/>
          <w:szCs w:val="20"/>
          <w:color w:val="auto"/>
        </w:rPr>
        <w:t xml:space="preserve"> </w:t>
      </w:r>
      <w:r>
        <w:rPr>
          <w:rFonts w:ascii="Times New Roman" w:cs="Times New Roman" w:eastAsia="Times New Roman" w:hAnsi="Times New Roman"/>
          <w:sz w:val="14"/>
          <w:szCs w:val="14"/>
          <w:color w:val="auto"/>
        </w:rPr>
        <w:t xml:space="preserve">$ 93 $ — </w:t>
      </w: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ARS Pharmaceuticals,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 Nature of Business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Description of Business</w:t>
      </w:r>
    </w:p>
    <w:p>
      <w:pPr>
        <w:spacing w:after="0" w:line="101"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 xml:space="preserve">ARS Pharmaceuticals, Inc. (“ARS”, “ARS Pharma” or the “Company”) is a biopharmaceutical company focused on the commercialization and development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(currently identified in the EU by the trade name </w:t>
      </w:r>
      <w:r>
        <w:rPr>
          <w:rFonts w:ascii="Times New Roman" w:cs="Times New Roman" w:eastAsia="Times New Roman" w:hAnsi="Times New Roman"/>
          <w:sz w:val="14"/>
          <w:szCs w:val="14"/>
          <w:i w:val="1"/>
          <w:iCs w:val="1"/>
          <w:color w:val="auto"/>
        </w:rPr>
        <w:t>EURneffy</w:t>
      </w:r>
      <w:r>
        <w:rPr>
          <w:rFonts w:ascii="Times New Roman" w:cs="Times New Roman" w:eastAsia="Times New Roman" w:hAnsi="Times New Roman"/>
          <w:sz w:val="14"/>
          <w:szCs w:val="14"/>
          <w:color w:val="auto"/>
        </w:rPr>
        <w:t xml:space="preserve">) for the needle-free intranasal delivery of epinephrine for the emergency treatment of Type I allergic reactions, including anaphylaxis.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is the first and only FDA and European Commission-approved needle-free epinephrine product, and the first new delivery method for epinephrine in more than 35 years.</w:t>
      </w:r>
    </w:p>
    <w:p>
      <w:pPr>
        <w:spacing w:after="0" w:line="56"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 xml:space="preserve">The Company incorporated in Delaware in January 2016 and is located in San Diego, California. The Company has a wholly owned subsidiary, ARS Pharmaceuticals Operations, Inc., incorporated in Delaware in August 2015, through which it conducts substantially all its operations. ARS Pharmaceuticals Operations, Inc. has a wholly owned subsidiary in Ireland, ARS Pharmaceuticals IRL, Limited, to facilitate the filing of regulatory approval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European countries.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Liquidity and Capital Resources</w:t>
      </w:r>
    </w:p>
    <w:p>
      <w:pPr>
        <w:spacing w:after="0" w:line="101"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 accompanying financial statements have been prepared assuming that the Company will continue as a going concern. The Company has incurred net operating losses in most years since its inception and had an accumulated deficit of $157.2 million as of March 31, 2025. The Company had cash, cash equivalents, and short-term investments of $275.7 million as of March 31, 2025 and has not generated positive cash flows from operations in most years. To date, the Company has funded its operations primarily with proceeds from the merger with Silverback in November 2022 (the “Merger”), private placement of convertible preferred stock, issuance of common stock, licensing, supply and distribution agreements, bank debt, and limited net product sales. The Company’s currently available cash, cash equivalents, and short-term investments as of March 31, 2025 are sufficient to meet its anticipated cash requirements for at least the 12 months following the date these financial statements are issued.</w:t>
      </w:r>
    </w:p>
    <w:p>
      <w:pPr>
        <w:spacing w:after="0" w:line="146"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From August 5, 2015 (inception) through March 31, 2025, the Company has devoted substantially all of its efforts to developing intellectual property, conducting product development and clinical trials, organizing and staffing the Company, business planning, raising capital, building infrastructure, pre-commercial and commercial activities, and providing general and administrative support for these operations. The Company has a limited operating history, and the sales and income potential of the Company’s business and market are unproven. Management expects operating expenses to increase for the foreseeable future, and there can be no assurance that the Company will achieve profitability in the future, or if achieved, that it will be sustained on a continuing basis.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Principles of Consolidation</w:t>
      </w:r>
    </w:p>
    <w:p>
      <w:pPr>
        <w:spacing w:after="0" w:line="101"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auto"/>
        </w:rPr>
        <w:t>The financial statements have been prepared in conformity with U.S. generally accepted accounting principles (“U.S. GAAP”). Any reference in these notes to applicable guidance is meant to refer to the authoritative U.S. GAAP as found in the Accounting Standards Codification (“ASC”), and Accounting Standards Update (“ASU”), of the Financial Accounting Standards Board (“FASB”). The Company’s financial statements are presented on a condensed consolidated basis, which include the accounts of ARS Pharmaceuticals, Inc., ARS Pharmaceuticals Operations, Inc. and ARS Pharmaceuticals IRL, Limited. All intercompany accounts and transactions have been eliminated in consolidation. The Company’s functional and reporting currency is the U.S. dollar. Assets and liabilities that are not denominated in the functional currency are remeasured into U.S. dollars at foreign currency exchange rates in effect at the balance sheet date except for nonmonetary assets, which are remeasured at historical foreign currency exchange rates in effect at the date of transaction. Net realized and unrealized gains and losses from foreign currency transactions and remeasurement are reported in other income in the condensed consolidated statements of operations and comprehensive loss. All adjustments considered necessary for a fair presentation have been included.</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11" w:name="page12"/>
    <w:bookmarkEnd w:id="11"/>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Unaudited Interim Condensed Consolidated Financial Statements</w:t>
      </w:r>
    </w:p>
    <w:p>
      <w:pPr>
        <w:spacing w:after="0" w:line="101"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 accompanying condensed consolidated balance sheet as of March 31, 2025, the condensed consolidated statements of operations and comprehensive loss for the three months ended March 31, 2025 and 2024, the condensed consolidated statements of stockholders’ equity for the three months ended March 31, 2025 and 2024, and the condensed consolidated statements of cash flows for the three months ended March 31, 2025 and 2024, are unaudited. The balance sheet as of December 31, 2024 was derived from the audited financial statements as of and for the year ended December 31, 2024. The unaudited interim condensed consolidated financial statements have been prepared on a basis consistent with the audited annual financial statements as of and for the year ended December 31, 2024, and, in the opinion of management, reflect all adjustments, consisting solely of normal recurring adjustments, necessary for the fair presentation of the Company’s financial position as of March 31, 2025, the condensed consolidated results of its operations for the three months ended March 31, 2025 and 2024, and its cash flows for the three months ended March 31, 2025 and 2024. The financial data and other information disclosed in these notes related to the three months ended March 31, 2025 and 2024 are also unaudited. The condensed consolidated results of operations for the three months ended March 31, 2025 are not necessarily indicative of the results to be expected for the full year ending December 31, 2025 or any other period.</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01"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 preparation of the Company’s condensed consolidated financial statements requires it to make estimates and assumptions that impact the reported amounts of assets, liabilities, revenues and expenses and the disclosure of contingent assets and liabilities in the Company’s condensed consolidated financial statements and accompanying notes. The most significant estimates in the Company’s condensed consolidated financial statements are revenue recognized under collaboration agreements, accruals for variable components of product revenue, accruals for research and development expenses, valuation of equity awards, and measurement of the financing liability.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01" w:lineRule="exact"/>
        <w:rPr>
          <w:sz w:val="20"/>
          <w:szCs w:val="20"/>
          <w:color w:val="auto"/>
        </w:rPr>
      </w:pPr>
    </w:p>
    <w:p>
      <w:pPr>
        <w:ind w:left="640" w:right="779" w:firstLine="351"/>
        <w:spacing w:after="0" w:line="274" w:lineRule="auto"/>
        <w:rPr>
          <w:sz w:val="20"/>
          <w:szCs w:val="20"/>
          <w:color w:val="auto"/>
        </w:rPr>
      </w:pPr>
      <w:r>
        <w:rPr>
          <w:rFonts w:ascii="Times New Roman" w:cs="Times New Roman" w:eastAsia="Times New Roman" w:hAnsi="Times New Roman"/>
          <w:sz w:val="14"/>
          <w:szCs w:val="14"/>
          <w:color w:val="auto"/>
        </w:rPr>
        <w:t>Cash and cash equivalents include cash readily available in checking, money market mutual funds, and short-term investments with remaining maturities when purchased of 90 days or less. The Company considers all highly liquid investments with remaining maturities when purchased of 90 days or less to be cash equivalents.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and Allowance for Credit Losses</w:t>
      </w:r>
    </w:p>
    <w:p>
      <w:pPr>
        <w:spacing w:after="0" w:line="101"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 xml:space="preserve">Accounts receivable includes trade accounts receivable from product sales to customers and reimbursable costs to partners under the Company’s collaboration agreements. Trade accounts receivable are recorded at wholesale acquisition cost (“WAC”), less purchase price discounts, prompt pay discounts, chargebacks, and an allowance for credit losses, if any. The allowance for credit losses is the Company’s estimate of losses over the life of the receivables. The Company determines the allowance for credit losses for accounts receivable based on each customer’s or partner’s accounts receivable balance and age, their financial condition, and the general economic environment. The Company must also use professional judgment for its allowance for credit losses on trade accounts receivable as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was commercially launched in September 2024 and historical data is limited. The Company is currently operating under the Title Agreement (as defined in </w:t>
      </w:r>
      <w:r>
        <w:rPr>
          <w:rFonts w:ascii="Times New Roman" w:cs="Times New Roman" w:eastAsia="Times New Roman" w:hAnsi="Times New Roman"/>
          <w:sz w:val="14"/>
          <w:szCs w:val="14"/>
          <w:u w:val="single" w:color="auto"/>
          <w:color w:val="0000FF"/>
        </w:rPr>
        <w:t>Note 3 – Revenue</w:t>
      </w:r>
      <w:r>
        <w:rPr>
          <w:rFonts w:ascii="Times New Roman" w:cs="Times New Roman" w:eastAsia="Times New Roman" w:hAnsi="Times New Roman"/>
          <w:sz w:val="14"/>
          <w:szCs w:val="14"/>
          <w:color w:val="auto"/>
        </w:rPr>
        <w:t xml:space="preserve">) with its Title Agent (as defined in </w:t>
      </w:r>
      <w:r>
        <w:rPr>
          <w:rFonts w:ascii="Times New Roman" w:cs="Times New Roman" w:eastAsia="Times New Roman" w:hAnsi="Times New Roman"/>
          <w:sz w:val="14"/>
          <w:szCs w:val="14"/>
          <w:u w:val="single" w:color="auto"/>
          <w:color w:val="0000FF"/>
        </w:rPr>
        <w:t>Note 3 – Revenue</w:t>
      </w:r>
      <w:r>
        <w:rPr>
          <w:rFonts w:ascii="Times New Roman" w:cs="Times New Roman" w:eastAsia="Times New Roman" w:hAnsi="Times New Roman"/>
          <w:sz w:val="14"/>
          <w:szCs w:val="14"/>
          <w:color w:val="auto"/>
        </w:rPr>
        <w:t>) and the Title Agent retains all credit and collection risk on product sales to the Company’s wholesale distributors and pharmacy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2272665</wp:posOffset>
            </wp:positionH>
            <wp:positionV relativeFrom="paragraph">
              <wp:posOffset>-134620</wp:posOffset>
            </wp:positionV>
            <wp:extent cx="65341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3415" cy="6985"/>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-134620</wp:posOffset>
            </wp:positionV>
            <wp:extent cx="65341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3415" cy="6985"/>
                    </a:xfrm>
                    <a:prstGeom prst="rect">
                      <a:avLst/>
                    </a:prstGeom>
                    <a:noFill/>
                  </pic:spPr>
                </pic:pic>
              </a:graphicData>
            </a:graphic>
          </wp:anchor>
        </w:drawing>
      </w:r>
    </w:p>
    <w:p>
      <w:pPr>
        <w:spacing w:after="0" w:line="129" w:lineRule="exact"/>
        <w:rPr>
          <w:sz w:val="20"/>
          <w:szCs w:val="20"/>
          <w:color w:val="auto"/>
        </w:rPr>
      </w:pPr>
    </w:p>
    <w:p>
      <w:pPr>
        <w:ind w:left="640" w:right="819" w:firstLine="351"/>
        <w:spacing w:after="0" w:line="274" w:lineRule="auto"/>
        <w:rPr>
          <w:sz w:val="20"/>
          <w:szCs w:val="20"/>
          <w:color w:val="auto"/>
        </w:rPr>
      </w:pPr>
      <w:r>
        <w:rPr>
          <w:rFonts w:ascii="Times New Roman" w:cs="Times New Roman" w:eastAsia="Times New Roman" w:hAnsi="Times New Roman"/>
          <w:sz w:val="14"/>
          <w:szCs w:val="14"/>
          <w:color w:val="auto"/>
        </w:rPr>
        <w:t>When the collectability of an invoice is no longer probable, the Company will create a reserve for that specific receivable. If a receivable is determined to be uncollectible, it is charged against the general credit loss reserve or the reserve for the specific receivable, if one exists. No allowance for credit losses was deemed necessary at March 31, 2025 or December 31, 2024.</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12" w:name="page13"/>
    <w:bookmarkEnd w:id="12"/>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Investments</w:t>
      </w:r>
    </w:p>
    <w:p>
      <w:pPr>
        <w:spacing w:after="0" w:line="101" w:lineRule="exact"/>
        <w:rPr>
          <w:sz w:val="20"/>
          <w:szCs w:val="20"/>
          <w:color w:val="auto"/>
        </w:rPr>
      </w:pPr>
    </w:p>
    <w:p>
      <w:pPr>
        <w:ind w:left="640" w:right="819" w:firstLine="351"/>
        <w:spacing w:after="0" w:line="268" w:lineRule="auto"/>
        <w:rPr>
          <w:sz w:val="20"/>
          <w:szCs w:val="20"/>
          <w:color w:val="auto"/>
        </w:rPr>
      </w:pPr>
      <w:r>
        <w:rPr>
          <w:rFonts w:ascii="Times New Roman" w:cs="Times New Roman" w:eastAsia="Times New Roman" w:hAnsi="Times New Roman"/>
          <w:sz w:val="14"/>
          <w:szCs w:val="14"/>
          <w:color w:val="auto"/>
        </w:rPr>
        <w:t>The Company invests excess cash in investment grade fixed income securities. These investments are included in short-term investments on the condensed consolidated balance sheets, classified as available-for-sale, and reported at fair value with unrealized gains and losses included in accumulated other comprehensive gain, net. Realized gains and losses on the sale of securities are recognized in net loss.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01" w:lineRule="exact"/>
        <w:rPr>
          <w:sz w:val="20"/>
          <w:szCs w:val="20"/>
          <w:color w:val="auto"/>
        </w:rPr>
      </w:pPr>
    </w:p>
    <w:p>
      <w:pPr>
        <w:ind w:left="640" w:right="879" w:firstLine="351"/>
        <w:spacing w:after="0" w:line="274" w:lineRule="auto"/>
        <w:rPr>
          <w:sz w:val="20"/>
          <w:szCs w:val="20"/>
          <w:color w:val="auto"/>
        </w:rPr>
      </w:pPr>
      <w:r>
        <w:rPr>
          <w:rFonts w:ascii="Times New Roman" w:cs="Times New Roman" w:eastAsia="Times New Roman" w:hAnsi="Times New Roman"/>
          <w:sz w:val="14"/>
          <w:szCs w:val="14"/>
          <w:color w:val="auto"/>
        </w:rPr>
        <w:t>Cash, cash equivalents, and short-term investments are carried at fair value. The carrying amounts of all accounts receivable, prepaid expenses and other current assets, accounts payable, accrued liabilities, and contract liability are considered to be representative of their respective fair values because of the short-term nature of those instruments.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w:t>
      </w:r>
    </w:p>
    <w:p>
      <w:pPr>
        <w:spacing w:after="0" w:line="101" w:lineRule="exact"/>
        <w:rPr>
          <w:sz w:val="20"/>
          <w:szCs w:val="20"/>
          <w:color w:val="auto"/>
        </w:rPr>
      </w:pPr>
    </w:p>
    <w:p>
      <w:pPr>
        <w:jc w:val="both"/>
        <w:ind w:left="640" w:right="739" w:firstLine="351"/>
        <w:spacing w:after="0" w:line="274"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significant concentrations of credit risk consist primarily of cash, cash equivalents, and short-term investments. The Company maintains deposits in federally insured financial institutions in excess of federally insured limits and limits its exposure to cash risk by placing its cash with high credit quality financial institutions.</w:t>
      </w:r>
    </w:p>
    <w:p>
      <w:pPr>
        <w:spacing w:after="0" w:line="136"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The Company reviews its financial instruments portfolio on a quarterly basis to determine if any unrealized losses have resulted from a credit loss or other factors. As part of the review, management considers factors such as historical experience, market data, issuer-specific factors, and current economic conditions. This review is subjective, as it requires management to evaluate whether an event or change in circumstances has occurred in that period that may be related to credit issues.</w:t>
      </w:r>
    </w:p>
    <w:p>
      <w:pPr>
        <w:spacing w:after="0" w:line="138"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 xml:space="preserve">The Company is also subject to credit risk related to its trade accounts receivable from product sales.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is distributed primarily through wholesale distributors and pharmacies. These entities are not obligated to purchase any set number of units and they distribute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on demand as orders are received. The Company extends credit to its customers in the normal course of business after evaluating their overall financial condition. As stated above, the Company is currently operating under the Title Agreement with its Title Agent (as defined in </w:t>
      </w:r>
      <w:r>
        <w:rPr>
          <w:rFonts w:ascii="Times New Roman" w:cs="Times New Roman" w:eastAsia="Times New Roman" w:hAnsi="Times New Roman"/>
          <w:sz w:val="14"/>
          <w:szCs w:val="14"/>
          <w:u w:val="single" w:color="auto"/>
          <w:color w:val="0000FF"/>
        </w:rPr>
        <w:t>Note 3 – Revenue</w:t>
      </w:r>
      <w:r>
        <w:rPr>
          <w:rFonts w:ascii="Times New Roman" w:cs="Times New Roman" w:eastAsia="Times New Roman" w:hAnsi="Times New Roman"/>
          <w:sz w:val="14"/>
          <w:szCs w:val="14"/>
          <w:color w:val="auto"/>
        </w:rPr>
        <w:t>) and the Title Agent retains all credit and collection risk on sales to the Company’s wholesale distributors and pharmacy customers. The Company’s Title Agent accounts for 90% and 93% of its trade accounts receivable balance as of March 31, 2025 and December 31, 2024, respectively. For the three months ended March 31, 2025, the Company’s five largest customers combined accounted for 90% of its gross product sales. Historically, the Company has not experienced any credit losses from product sales. For the three months ended March 31, 2025, one customer accounted for 100% of revenue under collaboration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1361440</wp:posOffset>
            </wp:positionH>
            <wp:positionV relativeFrom="paragraph">
              <wp:posOffset>-460375</wp:posOffset>
            </wp:positionV>
            <wp:extent cx="65341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3415" cy="6985"/>
                    </a:xfrm>
                    <a:prstGeom prst="rect">
                      <a:avLst/>
                    </a:prstGeom>
                    <a:noFill/>
                  </pic:spPr>
                </pic:pic>
              </a:graphicData>
            </a:graphic>
          </wp:anchor>
        </w:drawing>
      </w:r>
    </w:p>
    <w:p>
      <w:pPr>
        <w:spacing w:after="0" w:line="3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101" w:lineRule="exact"/>
        <w:rPr>
          <w:sz w:val="20"/>
          <w:szCs w:val="20"/>
          <w:color w:val="auto"/>
        </w:rPr>
      </w:pPr>
    </w:p>
    <w:p>
      <w:pPr>
        <w:ind w:left="640" w:right="899" w:firstLine="351"/>
        <w:spacing w:after="0" w:line="263" w:lineRule="auto"/>
        <w:rPr>
          <w:sz w:val="20"/>
          <w:szCs w:val="20"/>
          <w:color w:val="auto"/>
        </w:rPr>
      </w:pPr>
      <w:r>
        <w:rPr>
          <w:rFonts w:ascii="Times New Roman" w:cs="Times New Roman" w:eastAsia="Times New Roman" w:hAnsi="Times New Roman"/>
          <w:sz w:val="14"/>
          <w:szCs w:val="14"/>
          <w:color w:val="auto"/>
        </w:rPr>
        <w:t>Inventories consist of finished goods held for sale and distribution, raw materials and work in process, and include labor and overhead. Inventories are stated at the lower of cost or net realizable value, and are determined on a first-in, first-out basis. Net realizable value is the estimated selling price in the ordinary course of business, less reasonably predictable costs of completion, disposal, and transportation. The Company periodically reviews its inventory to identify obsolete, slow-moving, or otherwise unsalable inventories, and establishes allowances for situations in which the cost of the inventory is not expected to be recovered. Such impairment charges, if any, are recorded in cost of goods sold, on the condensed consolidated statements of operations.</w:t>
      </w:r>
    </w:p>
    <w:p>
      <w:pPr>
        <w:spacing w:after="0" w:line="144"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The Company capitalizes inventory costs after regulatory approval, when future commercialization is considered probable, and a future economic benefit is expected to be realized. Prior to regulatory approval, the Company records inventory costs as research and development expenses. As such, when regulatory approval is received, this may result in zero-cost inventory which does not have a carrying value. This inventory is available to the Company to utilize for commercial operations as well as ongoing research and development activities.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101" w:lineRule="exact"/>
        <w:rPr>
          <w:sz w:val="20"/>
          <w:szCs w:val="20"/>
          <w:color w:val="auto"/>
        </w:rPr>
      </w:pPr>
    </w:p>
    <w:p>
      <w:pPr>
        <w:ind w:left="640" w:right="959" w:firstLine="351"/>
        <w:spacing w:after="0" w:line="274" w:lineRule="auto"/>
        <w:rPr>
          <w:sz w:val="20"/>
          <w:szCs w:val="20"/>
          <w:color w:val="auto"/>
        </w:rPr>
      </w:pPr>
      <w:r>
        <w:rPr>
          <w:rFonts w:ascii="Times New Roman" w:cs="Times New Roman" w:eastAsia="Times New Roman" w:hAnsi="Times New Roman"/>
          <w:sz w:val="14"/>
          <w:szCs w:val="14"/>
          <w:color w:val="auto"/>
        </w:rPr>
        <w:t>Property and equipment are stated at cost less accumulated depreciation. Depreciation is calculated using the straight-line method over the estimated useful lives of the assets, generally five years. Repair and maintenance costs are charged to expense as incurred.</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13" w:name="page14"/>
    <w:bookmarkEnd w:id="13"/>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101"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Long-lived assets consist primarily of property and equipment and intangible assets. The Company reviews its long-lived assets for impairment whenever events or changes in circumstances indicate that the carrying value of an asset may not be recoverable. Recoverability is measured by comparison of the carrying amount to the future undiscounted net cash flows which the asset or asset group are expected to generate, including its eventual residual value. If such assets are considered to be impaired, the impairment to be recognized is measured as the amount by which the carrying amount of the assets exceeds its fair value. The Company has not recognized any impairment losses from inception through March 31, 2025.</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01" w:lineRule="exact"/>
        <w:rPr>
          <w:sz w:val="20"/>
          <w:szCs w:val="20"/>
          <w:color w:val="auto"/>
        </w:rPr>
      </w:pPr>
    </w:p>
    <w:p>
      <w:pPr>
        <w:ind w:left="640" w:right="739" w:firstLine="351"/>
        <w:spacing w:after="0" w:line="260" w:lineRule="auto"/>
        <w:rPr>
          <w:sz w:val="20"/>
          <w:szCs w:val="20"/>
          <w:color w:val="auto"/>
        </w:rPr>
      </w:pPr>
      <w:r>
        <w:rPr>
          <w:rFonts w:ascii="Times New Roman" w:cs="Times New Roman" w:eastAsia="Times New Roman" w:hAnsi="Times New Roman"/>
          <w:sz w:val="14"/>
          <w:szCs w:val="14"/>
          <w:color w:val="auto"/>
        </w:rPr>
        <w:t>The Company determines the initial classification and measurement of its right-of-use (“ROU”) asset and lease liabilities at the lease commencement date and thereafter, if modified. The Company recognizes a ROU asset for its operating leases with lease terms greater than 12 months. The lease term includes any renewal options and termination options that the Company is reasonably assured to exercise. The lease liability is calculated by using the present value of all lease payments, with the present value determined by using the incremental borrowing rate for operating leases determined by using the incremental borrowing rate of interest that the Company would pay to borrow on a collateralized basis an amount equal to the lease payments in a similar economic environment as well as a review of peer companies. Variable charges for common area maintenance and other variable costs are recognized as expense as incurred. Rent expense for operating leases is recognized on a straight-line basis over the reasonably assured lease term based on the total lease payments and is included in research and development and general and administrative expenses in the condensed consolidated statements of operations and comprehensive loss.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p>
      <w:pPr>
        <w:spacing w:after="0" w:line="101"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Intangible assets are measured at fair value as of the acquisition date or, in the case of commercial milestone payments, the date they become due. The evaluation of intangible assets includes assessing the amortization period for which the asset is expected to contribute to the future cash flows of the Company. Intangible assets with finite useful lives are amortized over their estimated useful lives, primarily on a straight-line basis when the Company is unable to reliably estimate the pattern of cash flow.</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9" w:lineRule="exact"/>
        <w:rPr>
          <w:sz w:val="20"/>
          <w:szCs w:val="20"/>
          <w:color w:val="auto"/>
        </w:rPr>
      </w:pPr>
    </w:p>
    <w:p>
      <w:pPr>
        <w:ind w:left="640" w:right="739" w:firstLine="351"/>
        <w:spacing w:after="0" w:line="275" w:lineRule="auto"/>
        <w:rPr>
          <w:sz w:val="20"/>
          <w:szCs w:val="20"/>
          <w:color w:val="auto"/>
        </w:rPr>
      </w:pPr>
      <w:r>
        <w:rPr>
          <w:rFonts w:ascii="Times New Roman" w:cs="Times New Roman" w:eastAsia="Times New Roman" w:hAnsi="Times New Roman"/>
          <w:sz w:val="14"/>
          <w:szCs w:val="14"/>
          <w:color w:val="auto"/>
        </w:rPr>
        <w:t xml:space="preserve">The Company’s revenues consist of product sales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revenue derived from its collaboration and out-licensing agreements. See </w:t>
      </w:r>
      <w:r>
        <w:rPr>
          <w:rFonts w:ascii="Times New Roman" w:cs="Times New Roman" w:eastAsia="Times New Roman" w:hAnsi="Times New Roman"/>
          <w:sz w:val="14"/>
          <w:szCs w:val="14"/>
          <w:u w:val="single" w:color="auto"/>
          <w:color w:val="0000FF"/>
        </w:rPr>
        <w:t>Note 3 – Revenue</w:t>
      </w:r>
      <w:r>
        <w:rPr>
          <w:rFonts w:ascii="Times New Roman" w:cs="Times New Roman" w:eastAsia="Times New Roman" w:hAnsi="Times New Roman"/>
          <w:sz w:val="14"/>
          <w:szCs w:val="14"/>
          <w:color w:val="auto"/>
        </w:rPr>
        <w:t xml:space="preserve"> for more detail on product revenue, and </w:t>
      </w:r>
      <w:r>
        <w:rPr>
          <w:rFonts w:ascii="Times New Roman" w:cs="Times New Roman" w:eastAsia="Times New Roman" w:hAnsi="Times New Roman"/>
          <w:sz w:val="14"/>
          <w:szCs w:val="14"/>
          <w:u w:val="single" w:color="auto"/>
          <w:color w:val="0000FF"/>
        </w:rPr>
        <w:t>Note 8 – Collaboration and Out-Licensing</w:t>
      </w:r>
      <w:r>
        <w:rPr>
          <w:rFonts w:ascii="Times New Roman" w:cs="Times New Roman" w:eastAsia="Times New Roman" w:hAnsi="Times New Roman"/>
          <w:sz w:val="14"/>
          <w:szCs w:val="14"/>
          <w:color w:val="auto"/>
        </w:rPr>
        <w:t xml:space="preserve"> for more detail on revenue from collaboration agreements, out-licensing agreements, and supply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1018540</wp:posOffset>
            </wp:positionH>
            <wp:positionV relativeFrom="paragraph">
              <wp:posOffset>-142240</wp:posOffset>
            </wp:positionV>
            <wp:extent cx="65341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3415" cy="6985"/>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-142240</wp:posOffset>
            </wp:positionV>
            <wp:extent cx="153733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37335" cy="6985"/>
                    </a:xfrm>
                    <a:prstGeom prst="rect">
                      <a:avLst/>
                    </a:prstGeom>
                    <a:noFill/>
                  </pic:spPr>
                </pic:pic>
              </a:graphicData>
            </a:graphic>
          </wp:anchor>
        </w:drawing>
      </w:r>
    </w:p>
    <w:p>
      <w:pPr>
        <w:spacing w:after="0" w:line="116"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The Company recognizes revenue in accordance with ASC Topic 606, Revenue from Contracts with Customers (“ASC 606”). The provisions of ASC 606 require the following steps to determine revenue recognition: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 At contract inception, the Company assesses the goods or services promised within each contract, determines whether each promised good or service is distinct and identifies those that are performance obligations. The Company recognizes as revenue the amount of the transaction price that is allocated to the respective performance obligation when (or as) the performance obligation is satisfied.</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Cost of Goods Sold</w:t>
      </w:r>
    </w:p>
    <w:p>
      <w:pPr>
        <w:spacing w:after="0" w:line="99"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 xml:space="preserve">Cost of goods sold primarily consists of direct and indirect costs related to the manufacture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for commercial sale, including salaries and related expenses for personnel, stock-based compensation, third-party manufacturing costs, raw material and component costs, packaging services, freight, storage costs, distribution fees, amortization of capitalized in-licensed costs, supply agreement fees, and royalties on product sales. Prior to the FDA approval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August 2024, costs incurred for the manufacture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were recorded as research and development expenses, which resulted in zero-cost inventory. As a result, the cost of goods sold related to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will initially reflect a lower average per unit cost of materials, as previously expensed zero-cost inventory is utilized for commercial production and sold to customers.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14" w:name="page15"/>
    <w:bookmarkEnd w:id="14"/>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Costs</w:t>
      </w:r>
    </w:p>
    <w:p>
      <w:pPr>
        <w:spacing w:after="0" w:line="101" w:lineRule="exact"/>
        <w:rPr>
          <w:sz w:val="20"/>
          <w:szCs w:val="20"/>
          <w:color w:val="auto"/>
        </w:rPr>
      </w:pPr>
    </w:p>
    <w:p>
      <w:pPr>
        <w:ind w:left="640" w:right="799" w:firstLine="351"/>
        <w:spacing w:after="0" w:line="265" w:lineRule="auto"/>
        <w:rPr>
          <w:sz w:val="20"/>
          <w:szCs w:val="20"/>
          <w:color w:val="auto"/>
        </w:rPr>
      </w:pPr>
      <w:r>
        <w:rPr>
          <w:rFonts w:ascii="Times New Roman" w:cs="Times New Roman" w:eastAsia="Times New Roman" w:hAnsi="Times New Roman"/>
          <w:sz w:val="14"/>
          <w:szCs w:val="14"/>
          <w:color w:val="auto"/>
        </w:rPr>
        <w:t xml:space="preserve">Research and development costs are expensed in the period incurred. Research and development costs primarily consist of salaries and related expenses for personnel, stock-based compensation expense, external research and development costs incurred under agreements with contract research organizations, investigative sites and consultants to conduct clinical studies, costs related to compliance with regulatory requirements, costs related to manufacturing the Company’s product candidates (including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prior to FDA approval in August 2024) for clinical trials, and other allocated expenses.</w:t>
      </w:r>
    </w:p>
    <w:p>
      <w:pPr>
        <w:spacing w:after="0" w:line="142"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Payments for research and development activities are based on the terms of the individual agreements, which may differ from the pattern of costs incurred, and payments made in advance of performance are reflected in the accompanying condensed consolidated balance sheets as prepaid expenses. The Company records accruals for estimated costs incurred for ongoing research and development activities. When evaluating the adequacy of the accrued liabilities, the Company analyzes progress of the services, including the phase or completion of events, invoices received and contracted costs. The Company uses judgments and estimates to determine the prepaid or accrued balances at the end of any reporting period. Actual results could differ from the Company’s estimates.</w:t>
      </w:r>
    </w:p>
    <w:p>
      <w:pPr>
        <w:spacing w:after="0" w:line="200" w:lineRule="exact"/>
        <w:rPr>
          <w:sz w:val="20"/>
          <w:szCs w:val="20"/>
          <w:color w:val="auto"/>
        </w:rPr>
      </w:pP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Costs</w:t>
      </w:r>
    </w:p>
    <w:p>
      <w:pPr>
        <w:spacing w:after="0" w:line="101"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Selling, general and administrative costs are expensed in the period incurred. Selling, general and administrative costs primarily consist of marketing-related expenses, salaries and related expenses for personnel, including meals and travel-related expenses incurred by the sales team, stock-based compensation, legal fees incurred relating to corporate and patent matters, professional fees incurred for accounting, auditing, tax, and other consulting services, and insurance costs.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Advertising</w:t>
      </w:r>
    </w:p>
    <w:p>
      <w:pPr>
        <w:spacing w:after="0" w:line="101"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Costs for producing advertising are expensed when incurred. Costs for communicating advertising, such as search engine marketing, banner advertisements, social media advertisements, and print advertisements, are recorded as prepaid expenses and then expensed when the advertisement occurs. For the three months ended March 31, 2025, advertising costs were $11.0 million. No advertising costs were incurred for the three months ended March 31, 2024.</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Patent Costs</w:t>
      </w:r>
    </w:p>
    <w:p>
      <w:pPr>
        <w:spacing w:after="0" w:line="101" w:lineRule="exact"/>
        <w:rPr>
          <w:sz w:val="20"/>
          <w:szCs w:val="20"/>
          <w:color w:val="auto"/>
        </w:rPr>
      </w:pPr>
    </w:p>
    <w:p>
      <w:pPr>
        <w:ind w:left="640" w:right="739" w:firstLine="351"/>
        <w:spacing w:after="0" w:line="292" w:lineRule="auto"/>
        <w:rPr>
          <w:sz w:val="20"/>
          <w:szCs w:val="20"/>
          <w:color w:val="auto"/>
        </w:rPr>
      </w:pPr>
      <w:r>
        <w:rPr>
          <w:rFonts w:ascii="Times New Roman" w:cs="Times New Roman" w:eastAsia="Times New Roman" w:hAnsi="Times New Roman"/>
          <w:sz w:val="14"/>
          <w:szCs w:val="14"/>
          <w:color w:val="auto"/>
        </w:rPr>
        <w:t>Costs related to filing and pursuing patent applications are recorded as general and administrative expenses in the statements of operations and expensed as incurred since recoverability of such expenditures is uncertain.</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License Fees</w:t>
      </w:r>
    </w:p>
    <w:p>
      <w:pPr>
        <w:spacing w:after="0" w:line="101" w:lineRule="exact"/>
        <w:rPr>
          <w:sz w:val="20"/>
          <w:szCs w:val="20"/>
          <w:color w:val="auto"/>
        </w:rPr>
      </w:pPr>
    </w:p>
    <w:p>
      <w:pPr>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Costs incurred to acquire technology licenses and milestone payments made on existing agreements are expensed or capitalized based upon the asset achieving technological feasibility in accordance with management’s assessment regarding the ultimate recoverability of the amounts paid and the potential for alternative future use.</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01"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Stock-based compensation expense represents the cost of the grant date fair value of stock option grants recognized over the requisite service period of the awards (usually the vesting period) on a straight-line basis. The Company recognizes expense for awards subject to performance-based milestones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The Company estimates the fair value of stock option grants using the Black-Scholes option pricing model and recognizes forfeitures as they occur. In the event that stock-based awards are granted in contemplation of or shortly before a planned release of material non-public information, and such information is expected to result in a material increase in the share price of the Company’s common stock, the Company may consider whether an adjustment to the observable market price is required when estimating the grant date fair value.</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Comprehensive Loss</w:t>
      </w:r>
    </w:p>
    <w:p>
      <w:pPr>
        <w:spacing w:after="0" w:line="101" w:lineRule="exact"/>
        <w:rPr>
          <w:sz w:val="20"/>
          <w:szCs w:val="20"/>
          <w:color w:val="auto"/>
        </w:rPr>
      </w:pPr>
    </w:p>
    <w:p>
      <w:pPr>
        <w:ind w:left="640" w:right="919" w:firstLine="351"/>
        <w:spacing w:after="0" w:line="274" w:lineRule="auto"/>
        <w:rPr>
          <w:sz w:val="20"/>
          <w:szCs w:val="20"/>
          <w:color w:val="auto"/>
        </w:rPr>
      </w:pPr>
      <w:r>
        <w:rPr>
          <w:rFonts w:ascii="Times New Roman" w:cs="Times New Roman" w:eastAsia="Times New Roman" w:hAnsi="Times New Roman"/>
          <w:sz w:val="14"/>
          <w:szCs w:val="14"/>
          <w:color w:val="auto"/>
        </w:rPr>
        <w:t>Comprehensive loss is defined as the change in equity during a period from transactions and other events and circumstances from non-owner sources. The Company’s comprehensive loss typically consists of the change in unrealized gains and losses on available-for-sale securities.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15" w:name="page16"/>
    <w:bookmarkEnd w:id="15"/>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Segment Reporting</w:t>
      </w:r>
    </w:p>
    <w:p>
      <w:pPr>
        <w:spacing w:after="0" w:line="101" w:lineRule="exact"/>
        <w:rPr>
          <w:sz w:val="20"/>
          <w:szCs w:val="20"/>
          <w:color w:val="auto"/>
        </w:rPr>
      </w:pPr>
    </w:p>
    <w:p>
      <w:pPr>
        <w:jc w:val="both"/>
        <w:ind w:left="640" w:right="1119" w:firstLine="351"/>
        <w:spacing w:after="0" w:line="274" w:lineRule="auto"/>
        <w:rPr>
          <w:sz w:val="20"/>
          <w:szCs w:val="20"/>
          <w:color w:val="auto"/>
        </w:rPr>
      </w:pPr>
      <w:r>
        <w:rPr>
          <w:rFonts w:ascii="Times New Roman" w:cs="Times New Roman" w:eastAsia="Times New Roman" w:hAnsi="Times New Roman"/>
          <w:sz w:val="14"/>
          <w:szCs w:val="14"/>
          <w:color w:val="auto"/>
        </w:rPr>
        <w:t>Operating segments are components of an enterprise about which separate discrete financial information is available for evaluation by the chief operating decision-maker for purposes of making decisions regarding resource allocation and assessing performance. The Company views its operations and manages its business as one operating segment.</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101"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 For purposes of this calculation, stock options, warrants, and unvested restricted stock units, are considered to be common stock equivalents but are not included in the calculations of diluted net loss per share for the periods presented as their effect would be antidilutive.</w:t>
      </w:r>
    </w:p>
    <w:p>
      <w:pPr>
        <w:spacing w:after="0" w:line="144" w:lineRule="exact"/>
        <w:rPr>
          <w:sz w:val="20"/>
          <w:szCs w:val="20"/>
          <w:color w:val="auto"/>
        </w:rPr>
      </w:pPr>
    </w:p>
    <w:p>
      <w:pPr>
        <w:ind w:left="640" w:right="739" w:firstLine="351"/>
        <w:spacing w:after="0" w:line="292" w:lineRule="auto"/>
        <w:rPr>
          <w:sz w:val="20"/>
          <w:szCs w:val="20"/>
          <w:color w:val="auto"/>
        </w:rPr>
      </w:pPr>
      <w:r>
        <w:rPr>
          <w:rFonts w:ascii="Times New Roman" w:cs="Times New Roman" w:eastAsia="Times New Roman" w:hAnsi="Times New Roman"/>
          <w:sz w:val="14"/>
          <w:szCs w:val="14"/>
          <w:color w:val="auto"/>
        </w:rPr>
        <w:t>The following securities are excluded from the calculation of weighted-average dilutive common shares because their inclusion would have been anti-dilutive:</w:t>
      </w:r>
    </w:p>
    <w:p>
      <w:pPr>
        <w:spacing w:after="0" w:line="33"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5280" w:type="dxa"/>
            <w:vAlign w:val="bottom"/>
          </w:tcPr>
          <w:p>
            <w:pPr>
              <w:spacing w:after="0"/>
              <w:rPr>
                <w:sz w:val="11"/>
                <w:szCs w:val="11"/>
                <w:color w:val="auto"/>
              </w:rPr>
            </w:pPr>
          </w:p>
        </w:tc>
        <w:tc>
          <w:tcPr>
            <w:tcW w:w="164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1"/>
                <w:szCs w:val="11"/>
                <w:b w:val="1"/>
                <w:bCs w:val="1"/>
                <w:color w:val="auto"/>
              </w:rPr>
              <w:t>As of March 31,</w:t>
            </w: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5280" w:type="dxa"/>
            <w:vAlign w:val="bottom"/>
          </w:tcPr>
          <w:p>
            <w:pPr>
              <w:spacing w:after="0"/>
              <w:rPr>
                <w:sz w:val="9"/>
                <w:szCs w:val="9"/>
                <w:color w:val="auto"/>
              </w:rPr>
            </w:pPr>
          </w:p>
        </w:tc>
        <w:tc>
          <w:tcPr>
            <w:tcW w:w="1100" w:type="dxa"/>
            <w:vAlign w:val="bottom"/>
            <w:tcBorders>
              <w:bottom w:val="single" w:sz="8" w:color="auto"/>
            </w:tcBorders>
          </w:tcPr>
          <w:p>
            <w:pPr>
              <w:jc w:val="right"/>
              <w:ind w:right="37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37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r>
      <w:tr>
        <w:trPr>
          <w:trHeight w:val="16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 to purchase common stock</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45,456</w:t>
            </w: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45,456</w:t>
            </w:r>
          </w:p>
        </w:tc>
        <w:tc>
          <w:tcPr>
            <w:tcW w:w="80" w:type="dxa"/>
            <w:vAlign w:val="bottom"/>
            <w:shd w:val="clear" w:color="auto" w:fill="CFF0FC"/>
          </w:tcPr>
          <w:p>
            <w:pPr>
              <w:spacing w:after="0"/>
              <w:rPr>
                <w:sz w:val="14"/>
                <w:szCs w:val="14"/>
                <w:color w:val="auto"/>
              </w:rPr>
            </w:pPr>
          </w:p>
        </w:tc>
      </w:tr>
      <w:tr>
        <w:trPr>
          <w:trHeight w:val="172"/>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options granted and outstanding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17,348,839</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14,398,501</w:t>
            </w:r>
          </w:p>
        </w:tc>
        <w:tc>
          <w:tcPr>
            <w:tcW w:w="80" w:type="dxa"/>
            <w:vAlign w:val="bottom"/>
          </w:tcPr>
          <w:p>
            <w:pPr>
              <w:spacing w:after="0"/>
              <w:rPr>
                <w:sz w:val="14"/>
                <w:szCs w:val="14"/>
                <w:color w:val="auto"/>
              </w:rPr>
            </w:pPr>
          </w:p>
        </w:tc>
      </w:tr>
      <w:tr>
        <w:trPr>
          <w:trHeight w:val="172"/>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Unvested restricted stock units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2,763</w:t>
            </w:r>
          </w:p>
        </w:tc>
        <w:tc>
          <w:tcPr>
            <w:tcW w:w="80" w:type="dxa"/>
            <w:vAlign w:val="bottom"/>
            <w:shd w:val="clear" w:color="auto" w:fill="CFF0FC"/>
          </w:tcPr>
          <w:p>
            <w:pPr>
              <w:spacing w:after="0"/>
              <w:rPr>
                <w:sz w:val="14"/>
                <w:szCs w:val="14"/>
                <w:color w:val="auto"/>
              </w:rPr>
            </w:pPr>
          </w:p>
        </w:tc>
      </w:tr>
      <w:tr>
        <w:trPr>
          <w:trHeight w:val="172"/>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Estimated shares to be purchased under the employee stock purchase plan</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65,748</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26,856</w:t>
            </w:r>
          </w:p>
        </w:tc>
        <w:tc>
          <w:tcPr>
            <w:tcW w:w="80" w:type="dxa"/>
            <w:vAlign w:val="bottom"/>
          </w:tcPr>
          <w:p>
            <w:pPr>
              <w:spacing w:after="0"/>
              <w:rPr>
                <w:sz w:val="14"/>
                <w:szCs w:val="14"/>
                <w:color w:val="auto"/>
              </w:rPr>
            </w:pPr>
          </w:p>
        </w:tc>
      </w:tr>
      <w:tr>
        <w:trPr>
          <w:trHeight w:val="203"/>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17,461,425</w:t>
            </w:r>
          </w:p>
        </w:tc>
        <w:tc>
          <w:tcPr>
            <w:tcW w:w="1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14,473,576</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4762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-6350</wp:posOffset>
            </wp:positionV>
            <wp:extent cx="4762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99" w:lineRule="exact"/>
        <w:rPr>
          <w:sz w:val="20"/>
          <w:szCs w:val="20"/>
          <w:color w:val="auto"/>
        </w:rPr>
      </w:pPr>
    </w:p>
    <w:p>
      <w:pPr>
        <w:ind w:left="640" w:right="739" w:firstLine="351"/>
        <w:spacing w:after="0" w:line="263" w:lineRule="auto"/>
        <w:rPr>
          <w:sz w:val="20"/>
          <w:szCs w:val="20"/>
          <w:color w:val="auto"/>
        </w:rPr>
      </w:pPr>
      <w:r>
        <w:rPr>
          <w:rFonts w:ascii="Times New Roman" w:cs="Times New Roman" w:eastAsia="Times New Roman" w:hAnsi="Times New Roman"/>
          <w:sz w:val="14"/>
          <w:szCs w:val="14"/>
          <w:color w:val="auto"/>
        </w:rPr>
        <w:t xml:space="preserve">In November 2023, the FASB issued ASU No. 2023-07, </w:t>
      </w:r>
      <w:r>
        <w:rPr>
          <w:rFonts w:ascii="Times New Roman" w:cs="Times New Roman" w:eastAsia="Times New Roman" w:hAnsi="Times New Roman"/>
          <w:sz w:val="14"/>
          <w:szCs w:val="14"/>
          <w:i w:val="1"/>
          <w:iCs w:val="1"/>
          <w:color w:val="auto"/>
        </w:rPr>
        <w:t>Segment Reporting (Topic 280)–Improvements to Reportable Segment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Disclosures </w:t>
      </w:r>
      <w:r>
        <w:rPr>
          <w:rFonts w:ascii="Times New Roman" w:cs="Times New Roman" w:eastAsia="Times New Roman" w:hAnsi="Times New Roman"/>
          <w:sz w:val="14"/>
          <w:szCs w:val="14"/>
          <w:color w:val="auto"/>
        </w:rPr>
        <w:t>(“ASU 2023-07”), which requires issuers to make additional disclosures with respect to segment expenses,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required disclosure on an annual and interim basis for significant segment expenses and other segment items. ASU 2023-07 also permits the disclosure of more than one measure of a segment’s profit or loss. ASU 2023-07 was effective for the Company on January 1, 2024 for annual periods and on January 1, 2025 for interim periods. The adoption of ASU 2023-07 resulted in enhanced disclosures as included in </w:t>
      </w:r>
      <w:r>
        <w:rPr>
          <w:rFonts w:ascii="Times New Roman" w:cs="Times New Roman" w:eastAsia="Times New Roman" w:hAnsi="Times New Roman"/>
          <w:sz w:val="14"/>
          <w:szCs w:val="14"/>
          <w:u w:val="single" w:color="auto"/>
          <w:color w:val="0000FF"/>
        </w:rPr>
        <w:t>Note 15 – Segment Information</w:t>
      </w:r>
      <w:r>
        <w:rPr>
          <w:rFonts w:ascii="Times New Roman" w:cs="Times New Roman" w:eastAsia="Times New Roman" w:hAnsi="Times New Roman"/>
          <w:sz w:val="14"/>
          <w:szCs w:val="14"/>
          <w:color w:val="auto"/>
        </w:rPr>
        <w:t xml:space="preserve"> and did not impact the Company’s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1358900</wp:posOffset>
            </wp:positionH>
            <wp:positionV relativeFrom="paragraph">
              <wp:posOffset>-26670</wp:posOffset>
            </wp:positionV>
            <wp:extent cx="115570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55700" cy="6985"/>
                    </a:xfrm>
                    <a:prstGeom prst="rect">
                      <a:avLst/>
                    </a:prstGeom>
                    <a:noFill/>
                  </pic:spPr>
                </pic:pic>
              </a:graphicData>
            </a:graphic>
          </wp:anchor>
        </w:drawing>
      </w:r>
    </w:p>
    <w:p>
      <w:pPr>
        <w:spacing w:after="0" w:line="3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 — Not Yet Adopted</w:t>
      </w:r>
    </w:p>
    <w:p>
      <w:pPr>
        <w:spacing w:after="0" w:line="101"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FASB or other standards setting bodies that are adopted as of the specified effective date. The Company believes the impact of recently issued standards, other than those noted below, and any issued but not yet effective standards will not have a material impact on our financial statements upon adoption.</w:t>
      </w:r>
    </w:p>
    <w:p>
      <w:pPr>
        <w:spacing w:after="0" w:line="134" w:lineRule="exact"/>
        <w:rPr>
          <w:sz w:val="20"/>
          <w:szCs w:val="20"/>
          <w:color w:val="auto"/>
        </w:rPr>
      </w:pPr>
    </w:p>
    <w:p>
      <w:pPr>
        <w:ind w:left="640" w:right="739" w:firstLine="351"/>
        <w:spacing w:after="0" w:line="264"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2023-09, </w:t>
      </w:r>
      <w:r>
        <w:rPr>
          <w:rFonts w:ascii="Times New Roman" w:cs="Times New Roman" w:eastAsia="Times New Roman" w:hAnsi="Times New Roman"/>
          <w:sz w:val="14"/>
          <w:szCs w:val="14"/>
          <w:i w:val="1"/>
          <w:iCs w:val="1"/>
          <w:color w:val="auto"/>
        </w:rPr>
        <w:t>Income Taxes (Topic 740)–Improvements to Income Tax Disclosures</w:t>
      </w:r>
      <w:r>
        <w:rPr>
          <w:rFonts w:ascii="Times New Roman" w:cs="Times New Roman" w:eastAsia="Times New Roman" w:hAnsi="Times New Roman"/>
          <w:sz w:val="14"/>
          <w:szCs w:val="14"/>
          <w:color w:val="auto"/>
        </w:rPr>
        <w:t xml:space="preserve"> (“ASU 2023-09”)</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new standard requires a company to expand its existing income tax disclosures, specifically related to the rate reconciliation and income taxes paid. The amendments in this update are effective for annual periods beginning after December 15, 2024, with early adoption permitted. The Company does not expect to early adopt the new standard. The new standard is expected to be applied prospectively, but retrospective application is permitted. The Company is currently evaluating the impact of ASU 2023-09 on the financial statements and related disclosures.</w:t>
      </w:r>
    </w:p>
    <w:p>
      <w:pPr>
        <w:spacing w:after="0" w:line="140" w:lineRule="exact"/>
        <w:rPr>
          <w:sz w:val="20"/>
          <w:szCs w:val="20"/>
          <w:color w:val="auto"/>
        </w:rPr>
      </w:pPr>
    </w:p>
    <w:p>
      <w:pPr>
        <w:ind w:left="640" w:right="739" w:firstLine="351"/>
        <w:spacing w:after="0" w:line="261" w:lineRule="auto"/>
        <w:rPr>
          <w:sz w:val="20"/>
          <w:szCs w:val="20"/>
          <w:color w:val="auto"/>
        </w:rPr>
      </w:pPr>
      <w:r>
        <w:rPr>
          <w:rFonts w:ascii="Times New Roman" w:cs="Times New Roman" w:eastAsia="Times New Roman" w:hAnsi="Times New Roman"/>
          <w:sz w:val="14"/>
          <w:szCs w:val="14"/>
          <w:color w:val="auto"/>
        </w:rPr>
        <w:t xml:space="preserve">In November 2024, the FASB issued ASU No. 2024-03, </w:t>
      </w:r>
      <w:r>
        <w:rPr>
          <w:rFonts w:ascii="Times New Roman" w:cs="Times New Roman" w:eastAsia="Times New Roman" w:hAnsi="Times New Roman"/>
          <w:sz w:val="14"/>
          <w:szCs w:val="14"/>
          <w:i w:val="1"/>
          <w:iCs w:val="1"/>
          <w:color w:val="auto"/>
        </w:rPr>
        <w:t>Income Statement–Reporting Comprehensive Income–Expense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Disaggregation Disclosures (Subtopic 220-40) </w:t>
      </w:r>
      <w:r>
        <w:rPr>
          <w:rFonts w:ascii="Times New Roman" w:cs="Times New Roman" w:eastAsia="Times New Roman" w:hAnsi="Times New Roman"/>
          <w:sz w:val="14"/>
          <w:szCs w:val="14"/>
          <w:color w:val="auto"/>
        </w:rPr>
        <w:t>(“ASU 2024-03”). The amendments in this update require disclosure, in the notes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financial statements, of specific expense categories present within expense captions presented on the face of the income statement within continuing operations of public business entities. The amendments in this update are effective for annual periods beginning after December 15, 2026 and interim periods beginning after December 15, 2027. Early adoption is permitted. The amendments should be applied either prospectively to financial statements issued for reporting periods after the effective date of this ASU or retrospectively to any and all prior periods presented in the financial statements. The impact of adoption of this ASU on the Company’s disclosures is currently being evaluated.</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16" w:name="page17"/>
    <w:bookmarkEnd w:id="16"/>
    <w:p>
      <w:pPr>
        <w:ind w:left="640"/>
        <w:spacing w:after="0"/>
        <w:rPr>
          <w:sz w:val="20"/>
          <w:szCs w:val="20"/>
          <w:color w:val="auto"/>
        </w:rPr>
      </w:pPr>
      <w:r>
        <w:rPr>
          <w:rFonts w:ascii="Times New Roman" w:cs="Times New Roman" w:eastAsia="Times New Roman" w:hAnsi="Times New Roman"/>
          <w:sz w:val="14"/>
          <w:szCs w:val="14"/>
          <w:b w:val="1"/>
          <w:bCs w:val="1"/>
          <w:color w:val="auto"/>
        </w:rPr>
        <w:t>3. Revenue</w:t>
      </w:r>
    </w:p>
    <w:p>
      <w:pPr>
        <w:spacing w:after="0" w:line="97" w:lineRule="exact"/>
        <w:rPr>
          <w:sz w:val="20"/>
          <w:szCs w:val="20"/>
          <w:color w:val="auto"/>
        </w:rPr>
      </w:pPr>
    </w:p>
    <w:p>
      <w:pPr>
        <w:jc w:val="both"/>
        <w:ind w:left="640" w:right="799" w:firstLine="351"/>
        <w:spacing w:after="0" w:line="275" w:lineRule="auto"/>
        <w:rPr>
          <w:sz w:val="20"/>
          <w:szCs w:val="20"/>
          <w:color w:val="auto"/>
        </w:rPr>
      </w:pPr>
      <w:r>
        <w:rPr>
          <w:rFonts w:ascii="Times New Roman" w:cs="Times New Roman" w:eastAsia="Times New Roman" w:hAnsi="Times New Roman"/>
          <w:sz w:val="14"/>
          <w:szCs w:val="14"/>
          <w:color w:val="auto"/>
        </w:rPr>
        <w:t xml:space="preserve">The Company’s revenues consist primarily of product sales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revenue derived from its collaboration and out-licensing agreements, and revenue from its supply agreements. See </w:t>
      </w:r>
      <w:r>
        <w:rPr>
          <w:rFonts w:ascii="Times New Roman" w:cs="Times New Roman" w:eastAsia="Times New Roman" w:hAnsi="Times New Roman"/>
          <w:sz w:val="14"/>
          <w:szCs w:val="14"/>
          <w:u w:val="single" w:color="auto"/>
          <w:color w:val="0000FF"/>
        </w:rPr>
        <w:t>Note 8 – Collaboration and Out-Licensing</w:t>
      </w:r>
      <w:r>
        <w:rPr>
          <w:rFonts w:ascii="Times New Roman" w:cs="Times New Roman" w:eastAsia="Times New Roman" w:hAnsi="Times New Roman"/>
          <w:sz w:val="14"/>
          <w:szCs w:val="14"/>
          <w:color w:val="auto"/>
        </w:rPr>
        <w:t xml:space="preserve"> for further discussion related to revenue from collaboration, out-licensing, and supply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2514600</wp:posOffset>
            </wp:positionH>
            <wp:positionV relativeFrom="paragraph">
              <wp:posOffset>-142240</wp:posOffset>
            </wp:positionV>
            <wp:extent cx="153733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37335" cy="6985"/>
                    </a:xfrm>
                    <a:prstGeom prst="rect">
                      <a:avLst/>
                    </a:prstGeom>
                    <a:noFill/>
                  </pic:spPr>
                </pic:pic>
              </a:graphicData>
            </a:graphic>
          </wp:anchor>
        </w:drawing>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Product Revenue</w:t>
      </w:r>
    </w:p>
    <w:p>
      <w:pPr>
        <w:spacing w:after="0" w:line="99" w:lineRule="exact"/>
        <w:rPr>
          <w:sz w:val="20"/>
          <w:szCs w:val="20"/>
          <w:color w:val="auto"/>
        </w:rPr>
      </w:pPr>
    </w:p>
    <w:p>
      <w:pPr>
        <w:ind w:left="640" w:right="879" w:firstLine="351"/>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neffy </w:t>
      </w:r>
      <w:r>
        <w:rPr>
          <w:rFonts w:ascii="Times New Roman" w:cs="Times New Roman" w:eastAsia="Times New Roman" w:hAnsi="Times New Roman"/>
          <w:sz w:val="14"/>
          <w:szCs w:val="14"/>
          <w:color w:val="auto"/>
        </w:rPr>
        <w:t>was approved by the FDA in August 2024, and the Company began generating product revenue from sales of</w:t>
      </w:r>
      <w:r>
        <w:rPr>
          <w:rFonts w:ascii="Times New Roman" w:cs="Times New Roman" w:eastAsia="Times New Roman" w:hAnsi="Times New Roman"/>
          <w:sz w:val="14"/>
          <w:szCs w:val="14"/>
          <w:i w:val="1"/>
          <w:iCs w:val="1"/>
          <w:color w:val="auto"/>
        </w:rPr>
        <w:t xml:space="preserve"> neffy </w:t>
      </w:r>
      <w:r>
        <w:rPr>
          <w:rFonts w:ascii="Times New Roman" w:cs="Times New Roman" w:eastAsia="Times New Roman" w:hAnsi="Times New Roman"/>
          <w:sz w:val="14"/>
          <w:szCs w:val="14"/>
          <w:color w:val="auto"/>
        </w:rPr>
        <w:t>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September 2024. The Company uses a third-party logistics provider (“3PL Agent”) to fulfill orders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to the Company’s customers. The 3PL Agent provides services to the Company that include warehousing, distribution, order and accounts receivable management, and data management.</w:t>
      </w:r>
    </w:p>
    <w:p>
      <w:pPr>
        <w:spacing w:after="0" w:line="139" w:lineRule="exact"/>
        <w:rPr>
          <w:sz w:val="20"/>
          <w:szCs w:val="20"/>
          <w:color w:val="auto"/>
        </w:rPr>
      </w:pPr>
    </w:p>
    <w:p>
      <w:pPr>
        <w:ind w:left="640" w:right="659" w:firstLine="351"/>
        <w:spacing w:after="0" w:line="267" w:lineRule="auto"/>
        <w:rPr>
          <w:sz w:val="20"/>
          <w:szCs w:val="20"/>
          <w:color w:val="auto"/>
        </w:rPr>
      </w:pPr>
      <w:r>
        <w:rPr>
          <w:rFonts w:ascii="Times New Roman" w:cs="Times New Roman" w:eastAsia="Times New Roman" w:hAnsi="Times New Roman"/>
          <w:sz w:val="14"/>
          <w:szCs w:val="14"/>
          <w:color w:val="auto"/>
        </w:rPr>
        <w:t xml:space="preserve">The Company entered into a title model agreement (“Title Agreement”) with an affiliate of the 3PL Agent (the “Title Agent”) so that the Title Agent may purchase and take title to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then sell it to the Company’s wholesale distributors and pharmacy customers that have contracted to make a purchase. Under the Title Agreement, the economic substance of the transaction is such that the Company does not recognize revenue until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is sold and title has transferred from the Title Agent to a wholesale distributor or pharmacy.</w:t>
      </w:r>
    </w:p>
    <w:p>
      <w:pPr>
        <w:spacing w:after="0" w:line="315"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 xml:space="preserve">The Company also entered into sales agreements with pharmacies that are not subject to the Title Agreement. Under these agreements, the pharmacy holds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under consignment. Under the consignment model, the Company recognizes revenue when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is sold to a patient, at which point title transfers from the Company directly to the patient.</w:t>
      </w:r>
    </w:p>
    <w:p>
      <w:pPr>
        <w:spacing w:after="0" w:line="136"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 xml:space="preserve">Product revenue is recorded with each sale at the transaction price, net of reserves for variable components, including but not limited to distribution service fees, prompt pay discounts, product returns, chargebacks, rebates, and co-payment assistance, which are collectively referred to as “Gross-to-Net Adjustments.” Estimates for Gross-to-Net Adjustments are reassessed each reporting period, and adjustments are recorded on a cumulative catch-up basis, which would affect product revenue and net loss in the period of adjustment. Trade accounts receivable due to the Company from contracts with its customers are stated in the condensed consolidated balance sheet, net of various allowances as described in the Accounts Receivable and Allowance for Credit Losses policy in </w:t>
      </w:r>
      <w:r>
        <w:rPr>
          <w:rFonts w:ascii="Times New Roman" w:cs="Times New Roman" w:eastAsia="Times New Roman" w:hAnsi="Times New Roman"/>
          <w:sz w:val="14"/>
          <w:szCs w:val="14"/>
          <w:u w:val="single" w:color="auto"/>
          <w:color w:val="0000FF"/>
        </w:rPr>
        <w:t>Note 2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Summary of Significant Accounting Policies</w:t>
      </w:r>
      <w:r>
        <w:rPr>
          <w:rFonts w:ascii="Times New Roman" w:cs="Times New Roman" w:eastAsia="Times New Roman" w:hAnsi="Times New Roman"/>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4937760</wp:posOffset>
            </wp:positionH>
            <wp:positionV relativeFrom="paragraph">
              <wp:posOffset>-137160</wp:posOffset>
            </wp:positionV>
            <wp:extent cx="33591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5915"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-27940</wp:posOffset>
            </wp:positionV>
            <wp:extent cx="163068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30680" cy="6985"/>
                    </a:xfrm>
                    <a:prstGeom prst="rect">
                      <a:avLst/>
                    </a:prstGeom>
                    <a:noFill/>
                  </pic:spPr>
                </pic:pic>
              </a:graphicData>
            </a:graphic>
          </wp:anchor>
        </w:drawing>
      </w:r>
    </w:p>
    <w:p>
      <w:pPr>
        <w:spacing w:after="0" w:line="124"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The Company utilizes the expected value method when estimating the amount of variable consideration to include in the transaction price with respect to each of the foregoing variable components. Variable consideration is included in the transaction price only to the extent it is probable that a significant revenue reversal will not occur when the uncertainty associated with the variable consideration is resolved.</w:t>
      </w:r>
    </w:p>
    <w:p>
      <w:pPr>
        <w:spacing w:after="0" w:line="86" w:lineRule="exact"/>
        <w:rPr>
          <w:sz w:val="20"/>
          <w:szCs w:val="20"/>
          <w:color w:val="auto"/>
        </w:rPr>
      </w:pPr>
    </w:p>
    <w:p>
      <w:pPr>
        <w:jc w:val="both"/>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In accordance with ASC 606, the Company must make significant judgments to determine the estimate for certain Gross-to-Net Adjustments. The specific considerations that the Company uses in estimating the amounts related to Gross-to-Net Adjustments are as follows:</w:t>
      </w:r>
    </w:p>
    <w:p>
      <w:pPr>
        <w:spacing w:after="0" w:line="134" w:lineRule="exact"/>
        <w:rPr>
          <w:sz w:val="20"/>
          <w:szCs w:val="20"/>
          <w:color w:val="auto"/>
        </w:rPr>
      </w:pPr>
    </w:p>
    <w:p>
      <w:pPr>
        <w:ind w:left="640" w:right="739" w:firstLine="351"/>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Distribution Service Fees. </w:t>
      </w:r>
      <w:r>
        <w:rPr>
          <w:rFonts w:ascii="Times New Roman" w:cs="Times New Roman" w:eastAsia="Times New Roman" w:hAnsi="Times New Roman"/>
          <w:sz w:val="14"/>
          <w:szCs w:val="14"/>
          <w:color w:val="auto"/>
        </w:rPr>
        <w:t>The Company pays distribution service fees to its wholesale distributors. These fees are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contractually fixed percentage of WAC and are calculated at the time of sale based on the purchased amount. These fees are recorded as other current liabilities on the condensed consolidated balance sheets.</w:t>
      </w:r>
    </w:p>
    <w:p>
      <w:pPr>
        <w:spacing w:after="0" w:line="134" w:lineRule="exact"/>
        <w:rPr>
          <w:sz w:val="20"/>
          <w:szCs w:val="20"/>
          <w:color w:val="auto"/>
        </w:rPr>
      </w:pPr>
    </w:p>
    <w:p>
      <w:pPr>
        <w:ind w:left="640" w:right="899" w:firstLine="351"/>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Commercial Pharmacy Discounts. </w:t>
      </w:r>
      <w:r>
        <w:rPr>
          <w:rFonts w:ascii="Times New Roman" w:cs="Times New Roman" w:eastAsia="Times New Roman" w:hAnsi="Times New Roman"/>
          <w:sz w:val="14"/>
          <w:szCs w:val="14"/>
          <w:color w:val="auto"/>
        </w:rPr>
        <w:t>The Company provides discounts to its pharmacy customers. These discounts are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contractually fixed percentage of WAC and are a direct reduction from the WAC price they are charged. They are calculated at the time of sale based on the purchased amount. These discounts are recorded as contra trade accounts receivable on the condensed consolidated balance sheets.</w:t>
      </w:r>
    </w:p>
    <w:p>
      <w:pPr>
        <w:spacing w:after="0" w:line="137" w:lineRule="exact"/>
        <w:rPr>
          <w:sz w:val="20"/>
          <w:szCs w:val="20"/>
          <w:color w:val="auto"/>
        </w:rPr>
      </w:pPr>
    </w:p>
    <w:p>
      <w:pPr>
        <w:ind w:left="640" w:right="659" w:firstLine="351"/>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Prompt Pay Discounts. </w:t>
      </w:r>
      <w:r>
        <w:rPr>
          <w:rFonts w:ascii="Times New Roman" w:cs="Times New Roman" w:eastAsia="Times New Roman" w:hAnsi="Times New Roman"/>
          <w:sz w:val="14"/>
          <w:szCs w:val="14"/>
          <w:color w:val="auto"/>
        </w:rPr>
        <w:t>The Company incentivizes on time invoice payments through prompt pay discounts. Prompt pay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discounts are typically taken by customers, so an estimate of the discount is recorded at the time of sale based on the purchased amount. Prompt pay discount estimates are recorded as contra trade accounts receivable on the condensed consolidated balance sheets.</w:t>
      </w:r>
    </w:p>
    <w:p>
      <w:pPr>
        <w:spacing w:after="0" w:line="134" w:lineRule="exact"/>
        <w:rPr>
          <w:sz w:val="20"/>
          <w:szCs w:val="20"/>
          <w:color w:val="auto"/>
        </w:rPr>
      </w:pPr>
    </w:p>
    <w:p>
      <w:pPr>
        <w:ind w:left="640" w:right="759" w:firstLine="351"/>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Chargebacks. </w:t>
      </w:r>
      <w:r>
        <w:rPr>
          <w:rFonts w:ascii="Times New Roman" w:cs="Times New Roman" w:eastAsia="Times New Roman" w:hAnsi="Times New Roman"/>
          <w:sz w:val="14"/>
          <w:szCs w:val="14"/>
          <w:color w:val="auto"/>
        </w:rPr>
        <w:t>Certain government entities and covered entities (e.g. Veterans Administration, 340B covered entities) can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purchase the product at a price discounted below WAC. The difference between the government or covered entity purchase price and WAC will be charged back to the Company. The Company estimates the amount of chargebacks based on the expected number of claims and the related cost that is associated with the revenue being recognized for product that remains in the distribution channel at the end of each reporting period. Estimated chargebacks are recorded as contra trade accounts receivable on the condensed consolidated balance sheets.</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17" w:name="page18"/>
    <w:bookmarkEnd w:id="17"/>
    <w:p>
      <w:pPr>
        <w:ind w:left="640" w:right="759" w:firstLine="351"/>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Rebates. </w:t>
      </w:r>
      <w:r>
        <w:rPr>
          <w:rFonts w:ascii="Times New Roman" w:cs="Times New Roman" w:eastAsia="Times New Roman" w:hAnsi="Times New Roman"/>
          <w:sz w:val="14"/>
          <w:szCs w:val="14"/>
          <w:color w:val="auto"/>
        </w:rPr>
        <w:t>The Company provides commercial rebates to pharmacy benefit managers and managed care organizations and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 to mandatory discount obligations under the Medicare, Medicaid, and Tricare programs. The rebate amounts for these programs are determined by contractual arrangements or statutory requirements. Rebates are owed after the product has been dispensed to a patient and the Company has been invoiced. The Company estimates the amount in rebates based on the expected number of claims and the related cost that is associated with the revenue being recognized for product that remains in the distribution channel at the end of each reporting period. Rebate estimates are recorded as other current liabilities on the condensed consolidated balance sheets.</w:t>
      </w:r>
    </w:p>
    <w:p>
      <w:pPr>
        <w:spacing w:after="0" w:line="316" w:lineRule="exact"/>
        <w:rPr>
          <w:sz w:val="20"/>
          <w:szCs w:val="20"/>
          <w:color w:val="auto"/>
        </w:rPr>
      </w:pPr>
    </w:p>
    <w:p>
      <w:pPr>
        <w:ind w:left="640" w:right="67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Co-payment Program. </w:t>
      </w:r>
      <w:r>
        <w:rPr>
          <w:rFonts w:ascii="Times New Roman" w:cs="Times New Roman" w:eastAsia="Times New Roman" w:hAnsi="Times New Roman"/>
          <w:sz w:val="14"/>
          <w:szCs w:val="14"/>
          <w:color w:val="auto"/>
        </w:rPr>
        <w:t>The Company offers co-payment assistance programs to commercially insured patients whose insurance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requires a co-payment to be made when filling their prescription. The Company estimates the amount of co-payment assistance based on the expected volume and the average buy down rate associated with the revenue being recognized for product that remains in the distribution channel at the end of each reporting period. Co-payment programs estimates are recorded as other current liabilities on the condensed consolidated balance sheets.</w:t>
      </w:r>
    </w:p>
    <w:p>
      <w:pPr>
        <w:spacing w:after="0" w:line="139" w:lineRule="exact"/>
        <w:rPr>
          <w:sz w:val="20"/>
          <w:szCs w:val="20"/>
          <w:color w:val="auto"/>
        </w:rPr>
      </w:pPr>
    </w:p>
    <w:p>
      <w:pPr>
        <w:ind w:left="640" w:right="719" w:firstLine="351"/>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Product Returns. </w:t>
      </w:r>
      <w:r>
        <w:rPr>
          <w:rFonts w:ascii="Times New Roman" w:cs="Times New Roman" w:eastAsia="Times New Roman" w:hAnsi="Times New Roman"/>
          <w:sz w:val="14"/>
          <w:szCs w:val="14"/>
          <w:color w:val="auto"/>
        </w:rPr>
        <w:t>Customers have the right to return damaged product, product that is within six months or less of the labeled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expiration date, or product that is past the expiration date by no more than twelve months.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was commercially launched in September 2024 and due to the lack of historical sales and returns data, the Company used professional judgment and industry data to estimate returns. As time passes and historical data becomes available, the Company will use historical sales and returns data to estimate future product returns. A reserve for potential product returns is recorded as other current liabilities on the condensed consolidated balance sheets.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4. Inventories</w:t>
      </w:r>
    </w:p>
    <w:p>
      <w:pPr>
        <w:spacing w:after="0" w:line="97" w:lineRule="exact"/>
        <w:rPr>
          <w:sz w:val="20"/>
          <w:szCs w:val="20"/>
          <w:color w:val="auto"/>
        </w:rPr>
      </w:pPr>
    </w:p>
    <w:p>
      <w:pPr>
        <w:ind w:left="640" w:right="799" w:firstLine="351"/>
        <w:spacing w:after="0" w:line="269" w:lineRule="auto"/>
        <w:rPr>
          <w:sz w:val="20"/>
          <w:szCs w:val="20"/>
          <w:color w:val="auto"/>
        </w:rPr>
      </w:pPr>
      <w:r>
        <w:rPr>
          <w:rFonts w:ascii="Times New Roman" w:cs="Times New Roman" w:eastAsia="Times New Roman" w:hAnsi="Times New Roman"/>
          <w:sz w:val="14"/>
          <w:szCs w:val="14"/>
          <w:color w:val="auto"/>
        </w:rPr>
        <w:t xml:space="preserve">The Company began to capitalize the inventory costs associated with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upon FDA approval in August 2024 when future commercialization was considered probable, and it was determined that the inventory had a probable future economic benefit. These inventory costs consist primarily of purchased materials, third-party manufacturing costs, and packaging and serialization services. Noncurrent inventory consists of inventory anticipated to remain on hand for more than one year from the balance sheet date.</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Capitalized inventories consisted of the following (in thousands):</w:t>
      </w:r>
    </w:p>
    <w:p>
      <w:pPr>
        <w:spacing w:after="0" w:line="92"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200" w:type="dxa"/>
            <w:vAlign w:val="bottom"/>
          </w:tcPr>
          <w:p>
            <w:pPr>
              <w:spacing w:after="0"/>
              <w:rPr>
                <w:sz w:val="11"/>
                <w:szCs w:val="11"/>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Pr>
          <w:p>
            <w:pPr>
              <w:spacing w:after="0"/>
              <w:rPr>
                <w:sz w:val="11"/>
                <w:szCs w:val="1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Finished goods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7,270</w:t>
            </w:r>
          </w:p>
        </w:tc>
        <w:tc>
          <w:tcPr>
            <w:tcW w:w="580" w:type="dxa"/>
            <w:vAlign w:val="bottom"/>
            <w:gridSpan w:val="2"/>
            <w:shd w:val="clear" w:color="auto" w:fill="CFF0FC"/>
          </w:tcPr>
          <w:p>
            <w:pPr>
              <w:jc w:val="right"/>
              <w:ind w:right="24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5,212</w:t>
            </w:r>
          </w:p>
        </w:tc>
        <w:tc>
          <w:tcPr>
            <w:tcW w:w="80" w:type="dxa"/>
            <w:vAlign w:val="bottom"/>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Total inventories, current</w:t>
            </w: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7,270</w:t>
            </w:r>
          </w:p>
        </w:tc>
        <w:tc>
          <w:tcPr>
            <w:tcW w:w="200" w:type="dxa"/>
            <w:vAlign w:val="bottom"/>
            <w:tcBorders>
              <w:top w:val="single" w:sz="8" w:color="CFF0FC"/>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5,212</w:t>
            </w:r>
          </w:p>
        </w:tc>
        <w:tc>
          <w:tcPr>
            <w:tcW w:w="80" w:type="dxa"/>
            <w:vAlign w:val="bottom"/>
            <w:tcBorders>
              <w:top w:val="single" w:sz="8" w:color="CFF0FC"/>
            </w:tcBorders>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Raw materials, noncurrent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11,845</w:t>
            </w: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4,674</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Work in process, noncurrent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Finished goods, noncurrent</w:t>
            </w:r>
          </w:p>
        </w:tc>
        <w:tc>
          <w:tcPr>
            <w:tcW w:w="1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inventories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19,209</w:t>
            </w:r>
          </w:p>
        </w:tc>
        <w:tc>
          <w:tcPr>
            <w:tcW w:w="580" w:type="dxa"/>
            <w:vAlign w:val="bottom"/>
            <w:gridSpan w:val="2"/>
          </w:tcPr>
          <w:p>
            <w:pPr>
              <w:jc w:val="right"/>
              <w:ind w:right="24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10,519</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-579120</wp:posOffset>
            </wp:positionV>
            <wp:extent cx="4762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-579120</wp:posOffset>
            </wp:positionV>
            <wp:extent cx="4762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-135890</wp:posOffset>
            </wp:positionV>
            <wp:extent cx="4762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5" w:lineRule="exact"/>
        <w:rPr>
          <w:sz w:val="20"/>
          <w:szCs w:val="20"/>
          <w:color w:val="auto"/>
        </w:rPr>
      </w:pPr>
    </w:p>
    <w:p>
      <w:pPr>
        <w:ind w:left="640" w:right="659" w:firstLine="351"/>
        <w:spacing w:after="0" w:line="269" w:lineRule="auto"/>
        <w:rPr>
          <w:sz w:val="20"/>
          <w:szCs w:val="20"/>
          <w:color w:val="auto"/>
        </w:rPr>
      </w:pPr>
      <w:r>
        <w:rPr>
          <w:rFonts w:ascii="Times New Roman" w:cs="Times New Roman" w:eastAsia="Times New Roman" w:hAnsi="Times New Roman"/>
          <w:sz w:val="14"/>
          <w:szCs w:val="14"/>
          <w:color w:val="auto"/>
        </w:rPr>
        <w:t xml:space="preserve">Prior to FDA approval in August 2024, costs incurred for the manufacturing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were recorded as research and development expenses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which upon approval resulted in zero-cost inventory. The Company held $10.9 million and $11.7 million in zero-cost inventory as of March 31, 2025 and December 31, 2024, respectively, none of which was determined to be obsolete as of each period end. The Company expects to fully utilize its zero-cost inventory in future periods.</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5. Fair Value Measurements</w:t>
      </w:r>
    </w:p>
    <w:p>
      <w:pPr>
        <w:spacing w:after="0" w:line="99" w:lineRule="exact"/>
        <w:rPr>
          <w:sz w:val="20"/>
          <w:szCs w:val="20"/>
          <w:color w:val="auto"/>
        </w:rPr>
      </w:pPr>
    </w:p>
    <w:p>
      <w:pPr>
        <w:ind w:left="640" w:right="719" w:firstLine="351"/>
        <w:spacing w:after="0" w:line="262" w:lineRule="auto"/>
        <w:rPr>
          <w:sz w:val="20"/>
          <w:szCs w:val="20"/>
          <w:color w:val="auto"/>
        </w:rPr>
      </w:pPr>
      <w:r>
        <w:rPr>
          <w:rFonts w:ascii="Times New Roman" w:cs="Times New Roman" w:eastAsia="Times New Roman" w:hAnsi="Times New Roman"/>
          <w:sz w:val="14"/>
          <w:szCs w:val="14"/>
          <w:color w:val="auto"/>
        </w:rPr>
        <w:t>The Company categorizes its assets and liabilities measured at fair value in accordance with the authoritative accounting guidance that establishes a consistent framework for measuring fair value and expands disclosures for each major asset and liability category measured at fair value on either a recurring or nonrecurring basis. Fair value is defined as the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fair value hierarchy, which prioritizes the inputs used in measuring fair value as follows:</w:t>
      </w:r>
    </w:p>
    <w:p>
      <w:pPr>
        <w:spacing w:after="0" w:line="59" w:lineRule="exact"/>
        <w:rPr>
          <w:sz w:val="20"/>
          <w:szCs w:val="20"/>
          <w:color w:val="auto"/>
        </w:rPr>
      </w:pPr>
    </w:p>
    <w:p>
      <w:pPr>
        <w:ind w:left="980"/>
        <w:spacing w:after="0"/>
        <w:tabs>
          <w:tab w:leader="none" w:pos="1540" w:val="left"/>
        </w:tabs>
        <w:rPr>
          <w:sz w:val="20"/>
          <w:szCs w:val="20"/>
          <w:color w:val="auto"/>
        </w:rPr>
      </w:pPr>
      <w:r>
        <w:rPr>
          <w:rFonts w:ascii="Times New Roman" w:cs="Times New Roman" w:eastAsia="Times New Roman" w:hAnsi="Times New Roman"/>
          <w:sz w:val="14"/>
          <w:szCs w:val="14"/>
          <w:color w:val="auto"/>
        </w:rPr>
        <w:t>Level 1</w:t>
        <w:tab/>
        <w:t>– Quoted prices (unadjusted) in active markets for identical assets or liabilities;</w:t>
      </w:r>
    </w:p>
    <w:p>
      <w:pPr>
        <w:spacing w:after="0" w:line="97" w:lineRule="exact"/>
        <w:rPr>
          <w:sz w:val="20"/>
          <w:szCs w:val="20"/>
          <w:color w:val="auto"/>
        </w:rPr>
      </w:pPr>
    </w:p>
    <w:p>
      <w:pPr>
        <w:ind w:left="980"/>
        <w:spacing w:after="0"/>
        <w:tabs>
          <w:tab w:leader="none" w:pos="1540" w:val="left"/>
        </w:tabs>
        <w:rPr>
          <w:sz w:val="20"/>
          <w:szCs w:val="20"/>
          <w:color w:val="auto"/>
        </w:rPr>
      </w:pPr>
      <w:r>
        <w:rPr>
          <w:rFonts w:ascii="Times New Roman" w:cs="Times New Roman" w:eastAsia="Times New Roman" w:hAnsi="Times New Roman"/>
          <w:sz w:val="14"/>
          <w:szCs w:val="14"/>
          <w:color w:val="auto"/>
        </w:rPr>
        <w:t>Level 2</w:t>
        <w:tab/>
        <w:t>– Inputs other than quoted prices included within Level 1 that are either directly or indirectly observable; and</w:t>
      </w:r>
    </w:p>
    <w:p>
      <w:pPr>
        <w:spacing w:after="0" w:line="97" w:lineRule="exact"/>
        <w:rPr>
          <w:sz w:val="20"/>
          <w:szCs w:val="20"/>
          <w:color w:val="auto"/>
        </w:rPr>
      </w:pPr>
    </w:p>
    <w:p>
      <w:pPr>
        <w:ind w:left="1560" w:right="919" w:hanging="733"/>
        <w:spacing w:after="0" w:line="292" w:lineRule="auto"/>
        <w:tabs>
          <w:tab w:leader="none" w:pos="1540" w:val="left"/>
        </w:tabs>
        <w:rPr>
          <w:sz w:val="20"/>
          <w:szCs w:val="20"/>
          <w:color w:val="auto"/>
        </w:rPr>
      </w:pPr>
      <w:r>
        <w:rPr>
          <w:rFonts w:ascii="Times New Roman" w:cs="Times New Roman" w:eastAsia="Times New Roman" w:hAnsi="Times New Roman"/>
          <w:sz w:val="14"/>
          <w:szCs w:val="14"/>
          <w:color w:val="auto"/>
        </w:rPr>
        <w:t>Level 3</w:t>
        <w:tab/>
        <w:t>– Unobservable inputs in which little or no market activity exists, therefore requiring an entity to develop its own assumptions about the assumptions that market participants would use in pricing.</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3" w:right="1440" w:bottom="1440" w:gutter="0" w:footer="0" w:header="0"/>
        </w:sectPr>
      </w:pPr>
    </w:p>
    <w:bookmarkStart w:id="18" w:name="page19"/>
    <w:bookmarkEnd w:id="18"/>
    <w:p>
      <w:pPr>
        <w:ind w:left="980"/>
        <w:spacing w:after="0"/>
        <w:rPr>
          <w:sz w:val="20"/>
          <w:szCs w:val="20"/>
          <w:color w:val="auto"/>
        </w:rPr>
      </w:pPr>
      <w:r>
        <w:rPr>
          <w:rFonts w:ascii="Times New Roman" w:cs="Times New Roman" w:eastAsia="Times New Roman" w:hAnsi="Times New Roman"/>
          <w:sz w:val="14"/>
          <w:szCs w:val="14"/>
          <w:color w:val="auto"/>
        </w:rPr>
        <w:t>The following table identifies the Company’s assets that were measured at fair value on a recurring basis (in thousands):</w:t>
      </w:r>
    </w:p>
    <w:p>
      <w:pPr>
        <w:spacing w:after="0" w:line="84"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restart"/>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80" w:type="dxa"/>
            <w:vAlign w:val="bottom"/>
          </w:tcPr>
          <w:p>
            <w:pPr>
              <w:spacing w:after="0"/>
              <w:rPr>
                <w:sz w:val="11"/>
                <w:szCs w:val="11"/>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Level</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12"/>
              <w:spacing w:after="0" w:line="119"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Value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 - Money market mutual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39,577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39,577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 - U.S. Treasury securities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right w:val="single" w:sz="8" w:color="CFF0FC"/>
            </w:tcBorders>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Short-term investments - U.S. Treasury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235,791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275,368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275,440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 - Money market mutual funds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 - U.S. Treasury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42,382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42,387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Short-term investments - U.S. Treasury securities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right w:val="single" w:sz="8" w:color="CFF0FC"/>
            </w:tcBorders>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262,990</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263,205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0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311,878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312,098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-123825</wp:posOffset>
            </wp:positionV>
            <wp:extent cx="4762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4189730</wp:posOffset>
            </wp:positionH>
            <wp:positionV relativeFrom="paragraph">
              <wp:posOffset>-123825</wp:posOffset>
            </wp:positionV>
            <wp:extent cx="4762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-123825</wp:posOffset>
            </wp:positionV>
            <wp:extent cx="4762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-123825</wp:posOffset>
            </wp:positionV>
            <wp:extent cx="4762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23"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There were no transfers between the Level 1 and Level 2 categories or into or out of the Level 3 category during the periods presented. During the three months ended March 31, 2025, the Company purchased $34.3 million in short-term investments and there were $63.5 million in maturities of short-term investments. During the three months ended March 31, 2024, the Company purchased $63.4 million in short-term investments and there were $55.0 million in maturities of short-term investments.</w:t>
      </w:r>
    </w:p>
    <w:p>
      <w:pPr>
        <w:spacing w:after="0" w:line="140" w:lineRule="exact"/>
        <w:rPr>
          <w:sz w:val="20"/>
          <w:szCs w:val="20"/>
          <w:color w:val="auto"/>
        </w:rPr>
      </w:pPr>
    </w:p>
    <w:p>
      <w:pPr>
        <w:ind w:left="640" w:right="639" w:firstLine="351"/>
        <w:spacing w:after="0" w:line="274" w:lineRule="auto"/>
        <w:rPr>
          <w:sz w:val="20"/>
          <w:szCs w:val="20"/>
          <w:color w:val="auto"/>
        </w:rPr>
      </w:pPr>
      <w:r>
        <w:rPr>
          <w:rFonts w:ascii="Times New Roman" w:cs="Times New Roman" w:eastAsia="Times New Roman" w:hAnsi="Times New Roman"/>
          <w:sz w:val="14"/>
          <w:szCs w:val="14"/>
          <w:color w:val="auto"/>
        </w:rPr>
        <w:t>The Company’s short-term investments portfolio contains investments in U.S. Treasury securities that have an effective maturity date that is less than one year from the respective balance sheet date. The Company's money market mutual fund holdings are highly liquid and invest primarily in cash and U.S. Treasury securities.</w:t>
      </w:r>
    </w:p>
    <w:p>
      <w:pPr>
        <w:spacing w:after="0" w:line="136"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There was a $0.1 million net unrealized gain on available-for-sale securities for the three months ended March 31, 2025, and a $0.2 million unrealized loss on available-for-sale securities for the three months ended March 31, 2024. Management determined that the gross unrealized losses on the Company’s available-for-sale securities as of March 31, 2025 were primarily attributable to current economic and market conditions and not credit risk. As of March 31, 2025 and December 31, 2024, no allowance for credit losses was recorded. It is neither management’s intention to sell nor is it more likely than not that the Company will be required to sell any investments prior to recovery of its amortized cost basis, which is expected to be at maturity.</w:t>
      </w:r>
    </w:p>
    <w:p>
      <w:pPr>
        <w:spacing w:after="0" w:line="144" w:lineRule="exact"/>
        <w:rPr>
          <w:sz w:val="20"/>
          <w:szCs w:val="20"/>
          <w:color w:val="auto"/>
        </w:rPr>
      </w:pPr>
    </w:p>
    <w:p>
      <w:pPr>
        <w:ind w:left="640" w:right="1119" w:firstLine="351"/>
        <w:spacing w:after="0" w:line="292" w:lineRule="auto"/>
        <w:rPr>
          <w:sz w:val="20"/>
          <w:szCs w:val="20"/>
          <w:color w:val="auto"/>
        </w:rPr>
      </w:pPr>
      <w:r>
        <w:rPr>
          <w:rFonts w:ascii="Times New Roman" w:cs="Times New Roman" w:eastAsia="Times New Roman" w:hAnsi="Times New Roman"/>
          <w:sz w:val="14"/>
          <w:szCs w:val="14"/>
          <w:color w:val="auto"/>
        </w:rPr>
        <w:t>Accrued interest on the Company's available-for-sale securities was $1.0 million as of March 31, 2025 and is included in prepaid expenses and other current assets in the accompanying condensed consolidated balance sheet.</w:t>
      </w:r>
    </w:p>
    <w:p>
      <w:pPr>
        <w:spacing w:after="0" w:line="124" w:lineRule="exact"/>
        <w:rPr>
          <w:sz w:val="20"/>
          <w:szCs w:val="20"/>
          <w:color w:val="auto"/>
        </w:rPr>
      </w:pPr>
    </w:p>
    <w:p>
      <w:pPr>
        <w:ind w:left="640" w:right="819" w:firstLine="351"/>
        <w:spacing w:after="0" w:line="292" w:lineRule="auto"/>
        <w:rPr>
          <w:sz w:val="20"/>
          <w:szCs w:val="20"/>
          <w:color w:val="auto"/>
        </w:rPr>
      </w:pPr>
      <w:r>
        <w:rPr>
          <w:rFonts w:ascii="Times New Roman" w:cs="Times New Roman" w:eastAsia="Times New Roman" w:hAnsi="Times New Roman"/>
          <w:sz w:val="14"/>
          <w:szCs w:val="14"/>
          <w:color w:val="auto"/>
        </w:rPr>
        <w:t>As of March 31, 2025 and December 31, 2024, the Company did not have any liabilities that were measured at fair value on a recurring basis.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6. Balance Sheet Details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Prepaid expenses and other current assets consisted of the following (in thousands):</w:t>
      </w:r>
    </w:p>
    <w:p>
      <w:pPr>
        <w:spacing w:after="0" w:line="92"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5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200" w:type="dxa"/>
            <w:vAlign w:val="bottom"/>
          </w:tcPr>
          <w:p>
            <w:pPr>
              <w:spacing w:after="0"/>
              <w:rPr>
                <w:sz w:val="11"/>
                <w:szCs w:val="11"/>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600" w:type="dxa"/>
            <w:vAlign w:val="bottom"/>
            <w:gridSpan w:val="2"/>
          </w:tcPr>
          <w:p>
            <w:pPr>
              <w:spacing w:after="0"/>
              <w:rPr>
                <w:sz w:val="11"/>
                <w:szCs w:val="11"/>
                <w:color w:val="auto"/>
              </w:rPr>
            </w:pPr>
          </w:p>
        </w:tc>
      </w:tr>
      <w:tr>
        <w:trPr>
          <w:trHeight w:val="163"/>
        </w:trPr>
        <w:tc>
          <w:tcPr>
            <w:tcW w:w="520" w:type="dxa"/>
            <w:vAlign w:val="bottom"/>
          </w:tcPr>
          <w:p>
            <w:pPr>
              <w:spacing w:after="0"/>
              <w:rPr>
                <w:sz w:val="14"/>
                <w:szCs w:val="14"/>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Prepaid expenses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8,341</w:t>
            </w:r>
          </w:p>
        </w:tc>
        <w:tc>
          <w:tcPr>
            <w:tcW w:w="600" w:type="dxa"/>
            <w:vAlign w:val="bottom"/>
            <w:gridSpan w:val="2"/>
            <w:shd w:val="clear" w:color="auto" w:fill="CFF0FC"/>
          </w:tcPr>
          <w:p>
            <w:pPr>
              <w:jc w:val="right"/>
              <w:ind w:right="25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3,406</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Prepaid insurance</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receivable</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2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03"/>
        </w:trPr>
        <w:tc>
          <w:tcPr>
            <w:tcW w:w="520" w:type="dxa"/>
            <w:vAlign w:val="bottom"/>
          </w:tcPr>
          <w:p>
            <w:pPr>
              <w:spacing w:after="0"/>
              <w:rPr>
                <w:sz w:val="17"/>
                <w:szCs w:val="17"/>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11,560</w:t>
            </w:r>
          </w:p>
        </w:tc>
        <w:tc>
          <w:tcPr>
            <w:tcW w:w="600" w:type="dxa"/>
            <w:vAlign w:val="bottom"/>
            <w:gridSpan w:val="2"/>
            <w:shd w:val="clear" w:color="auto" w:fill="CFF0FC"/>
          </w:tcPr>
          <w:p>
            <w:pPr>
              <w:jc w:val="right"/>
              <w:ind w:right="25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6,886</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315"/>
        </w:trPr>
        <w:tc>
          <w:tcPr>
            <w:tcW w:w="520" w:type="dxa"/>
            <w:vAlign w:val="bottom"/>
          </w:tcPr>
          <w:p>
            <w:pPr>
              <w:spacing w:after="0"/>
              <w:rPr>
                <w:sz w:val="24"/>
                <w:szCs w:val="24"/>
                <w:color w:val="auto"/>
              </w:rPr>
            </w:pPr>
          </w:p>
        </w:tc>
        <w:tc>
          <w:tcPr>
            <w:tcW w:w="5320" w:type="dxa"/>
            <w:vAlign w:val="bottom"/>
            <w:tcBorders>
              <w:top w:val="single" w:sz="8" w:color="CFF0FC"/>
            </w:tcBorders>
          </w:tcPr>
          <w:p>
            <w:pPr>
              <w:ind w:left="340"/>
              <w:spacing w:after="0"/>
              <w:rPr>
                <w:sz w:val="20"/>
                <w:szCs w:val="20"/>
                <w:color w:val="auto"/>
              </w:rPr>
            </w:pPr>
            <w:r>
              <w:rPr>
                <w:rFonts w:ascii="Times New Roman" w:cs="Times New Roman" w:eastAsia="Times New Roman" w:hAnsi="Times New Roman"/>
                <w:sz w:val="14"/>
                <w:szCs w:val="14"/>
                <w:color w:val="auto"/>
              </w:rPr>
              <w:t>Other long-term assets consisted of the following (in thousands):</w:t>
            </w: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520" w:type="dxa"/>
            <w:vAlign w:val="bottom"/>
          </w:tcPr>
          <w:p>
            <w:pPr>
              <w:spacing w:after="0"/>
              <w:rPr>
                <w:sz w:val="24"/>
                <w:szCs w:val="24"/>
                <w:color w:val="auto"/>
              </w:rPr>
            </w:pPr>
          </w:p>
        </w:tc>
      </w:tr>
      <w:tr>
        <w:trPr>
          <w:trHeight w:val="205"/>
        </w:trPr>
        <w:tc>
          <w:tcPr>
            <w:tcW w:w="5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200" w:type="dxa"/>
            <w:vAlign w:val="bottom"/>
          </w:tcPr>
          <w:p>
            <w:pPr>
              <w:spacing w:after="0"/>
              <w:rPr>
                <w:sz w:val="17"/>
                <w:szCs w:val="17"/>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600" w:type="dxa"/>
            <w:vAlign w:val="bottom"/>
            <w:gridSpan w:val="2"/>
          </w:tcPr>
          <w:p>
            <w:pPr>
              <w:spacing w:after="0"/>
              <w:rPr>
                <w:sz w:val="17"/>
                <w:szCs w:val="17"/>
                <w:color w:val="auto"/>
              </w:rPr>
            </w:pPr>
          </w:p>
        </w:tc>
      </w:tr>
      <w:tr>
        <w:trPr>
          <w:trHeight w:val="163"/>
        </w:trPr>
        <w:tc>
          <w:tcPr>
            <w:tcW w:w="520" w:type="dxa"/>
            <w:vAlign w:val="bottom"/>
          </w:tcPr>
          <w:p>
            <w:pPr>
              <w:spacing w:after="0"/>
              <w:rPr>
                <w:sz w:val="14"/>
                <w:szCs w:val="14"/>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Prepaid supply agreement fee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2,880</w:t>
            </w:r>
          </w:p>
        </w:tc>
        <w:tc>
          <w:tcPr>
            <w:tcW w:w="600" w:type="dxa"/>
            <w:vAlign w:val="bottom"/>
            <w:gridSpan w:val="2"/>
            <w:shd w:val="clear" w:color="auto" w:fill="CFF0FC"/>
          </w:tcPr>
          <w:p>
            <w:pPr>
              <w:jc w:val="right"/>
              <w:ind w:right="25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Capitalized software implementation costs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03"/>
        </w:trPr>
        <w:tc>
          <w:tcPr>
            <w:tcW w:w="520" w:type="dxa"/>
            <w:vAlign w:val="bottom"/>
          </w:tcPr>
          <w:p>
            <w:pPr>
              <w:spacing w:after="0"/>
              <w:rPr>
                <w:sz w:val="17"/>
                <w:szCs w:val="17"/>
                <w:color w:val="auto"/>
              </w:rPr>
            </w:pPr>
          </w:p>
        </w:tc>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3,131</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25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3,114</w:t>
            </w:r>
          </w:p>
        </w:tc>
        <w:tc>
          <w:tcPr>
            <w:tcW w:w="80" w:type="dxa"/>
            <w:vAlign w:val="bottom"/>
            <w:tcBorders>
              <w:bottom w:val="single" w:sz="8" w:color="CFF0FC"/>
            </w:tcBorders>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401"/>
        </w:trPr>
        <w:tc>
          <w:tcPr>
            <w:tcW w:w="5840" w:type="dxa"/>
            <w:vAlign w:val="bottom"/>
            <w:gridSpan w:val="2"/>
          </w:tcPr>
          <w:p>
            <w:pPr>
              <w:jc w:val="right"/>
              <w:ind w:right="130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-1397635</wp:posOffset>
            </wp:positionV>
            <wp:extent cx="4762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-1383665</wp:posOffset>
            </wp:positionV>
            <wp:extent cx="4762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-1397635</wp:posOffset>
            </wp:positionV>
            <wp:extent cx="4762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-1383665</wp:posOffset>
            </wp:positionV>
            <wp:extent cx="4762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-688340</wp:posOffset>
            </wp:positionV>
            <wp:extent cx="4762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-674370</wp:posOffset>
            </wp:positionV>
            <wp:extent cx="4762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-688340</wp:posOffset>
            </wp:positionV>
            <wp:extent cx="4762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-674370</wp:posOffset>
            </wp:positionV>
            <wp:extent cx="4762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19" w:name="page20"/>
    <w:bookmarkEnd w:id="19"/>
    <w:p>
      <w:pPr>
        <w:ind w:left="980"/>
        <w:spacing w:after="0"/>
        <w:rPr>
          <w:sz w:val="20"/>
          <w:szCs w:val="20"/>
          <w:color w:val="auto"/>
        </w:rPr>
      </w:pPr>
      <w:r>
        <w:rPr>
          <w:rFonts w:ascii="Times New Roman" w:cs="Times New Roman" w:eastAsia="Times New Roman" w:hAnsi="Times New Roman"/>
          <w:sz w:val="14"/>
          <w:szCs w:val="14"/>
          <w:color w:val="auto"/>
        </w:rPr>
        <w:t>Accounts payable and accrued liabilities consisted of the following (in thousands):</w:t>
      </w:r>
    </w:p>
    <w:p>
      <w:pPr>
        <w:spacing w:after="0" w:line="92"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5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200" w:type="dxa"/>
            <w:vAlign w:val="bottom"/>
          </w:tcPr>
          <w:p>
            <w:pPr>
              <w:spacing w:after="0"/>
              <w:rPr>
                <w:sz w:val="11"/>
                <w:szCs w:val="11"/>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Pr>
          <w:p>
            <w:pPr>
              <w:spacing w:after="0"/>
              <w:rPr>
                <w:sz w:val="11"/>
                <w:szCs w:val="11"/>
                <w:color w:val="auto"/>
              </w:rPr>
            </w:pPr>
          </w:p>
        </w:tc>
      </w:tr>
      <w:tr>
        <w:trPr>
          <w:trHeight w:val="16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4,095</w:t>
            </w:r>
          </w:p>
        </w:tc>
        <w:tc>
          <w:tcPr>
            <w:tcW w:w="58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9,870</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Accrued inventory</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4,225</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4,255</w:t>
            </w:r>
          </w:p>
        </w:tc>
        <w:tc>
          <w:tcPr>
            <w:tcW w:w="80" w:type="dxa"/>
            <w:vAlign w:val="bottom"/>
          </w:tcPr>
          <w:p>
            <w:pPr>
              <w:spacing w:after="0"/>
              <w:rPr>
                <w:sz w:val="14"/>
                <w:szCs w:val="14"/>
                <w:color w:val="auto"/>
              </w:rPr>
            </w:pPr>
          </w:p>
        </w:tc>
      </w:tr>
      <w:tr>
        <w:trPr>
          <w:trHeight w:val="172"/>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compensation</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4,732</w:t>
            </w: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2,293</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Accrued gross-to-net adjustments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80" w:type="dxa"/>
            <w:vAlign w:val="bottom"/>
          </w:tcPr>
          <w:p>
            <w:pPr>
              <w:spacing w:after="0"/>
              <w:rPr>
                <w:sz w:val="14"/>
                <w:szCs w:val="14"/>
                <w:color w:val="auto"/>
              </w:rPr>
            </w:pPr>
          </w:p>
        </w:tc>
      </w:tr>
      <w:tr>
        <w:trPr>
          <w:trHeight w:val="172"/>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marketing related expenses</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5,600</w:t>
            </w: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4,242</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2,389</w:t>
            </w:r>
          </w:p>
        </w:tc>
        <w:tc>
          <w:tcPr>
            <w:tcW w:w="80" w:type="dxa"/>
            <w:vAlign w:val="bottom"/>
          </w:tcPr>
          <w:p>
            <w:pPr>
              <w:spacing w:after="0"/>
              <w:rPr>
                <w:sz w:val="14"/>
                <w:szCs w:val="14"/>
                <w:color w:val="auto"/>
              </w:rPr>
            </w:pPr>
          </w:p>
        </w:tc>
      </w:tr>
      <w:tr>
        <w:trPr>
          <w:trHeight w:val="203"/>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27,009</w:t>
            </w:r>
          </w:p>
        </w:tc>
        <w:tc>
          <w:tcPr>
            <w:tcW w:w="2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22,841</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4762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-6350</wp:posOffset>
            </wp:positionV>
            <wp:extent cx="4762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7. Intangible assets, net</w:t>
      </w:r>
    </w:p>
    <w:p>
      <w:pPr>
        <w:spacing w:after="0" w:line="185" w:lineRule="exact"/>
        <w:rPr>
          <w:sz w:val="20"/>
          <w:szCs w:val="20"/>
          <w:color w:val="auto"/>
        </w:rPr>
      </w:pPr>
    </w:p>
    <w:p>
      <w:pPr>
        <w:ind w:left="640" w:right="779" w:firstLine="351"/>
        <w:spacing w:after="0" w:line="268" w:lineRule="auto"/>
        <w:rPr>
          <w:sz w:val="20"/>
          <w:szCs w:val="20"/>
          <w:color w:val="auto"/>
        </w:rPr>
      </w:pPr>
      <w:r>
        <w:rPr>
          <w:rFonts w:ascii="Times New Roman" w:cs="Times New Roman" w:eastAsia="Times New Roman" w:hAnsi="Times New Roman"/>
          <w:sz w:val="14"/>
          <w:szCs w:val="14"/>
          <w:color w:val="auto"/>
        </w:rPr>
        <w:t xml:space="preserve">As described in </w:t>
      </w:r>
      <w:r>
        <w:rPr>
          <w:rFonts w:ascii="Times New Roman" w:cs="Times New Roman" w:eastAsia="Times New Roman" w:hAnsi="Times New Roman"/>
          <w:sz w:val="14"/>
          <w:szCs w:val="14"/>
          <w:u w:val="single" w:color="auto"/>
          <w:color w:val="0000FF"/>
        </w:rPr>
        <w:t>Note 10 – In-Licensing and Supply</w:t>
      </w:r>
      <w:r>
        <w:rPr>
          <w:rFonts w:ascii="Times New Roman" w:cs="Times New Roman" w:eastAsia="Times New Roman" w:hAnsi="Times New Roman"/>
          <w:sz w:val="14"/>
          <w:szCs w:val="14"/>
          <w:color w:val="auto"/>
        </w:rPr>
        <w:t xml:space="preserve">, under the Aegis Agreement the Company capitalized a $2.5 million milestone payment in August 2024 and a $5.0 million milestone payment in September 2024. The assets are amortized on a straight-line basis over the estimated life of the intellectual property of 14.5 years, beginning from the first commercial sale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September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1216025</wp:posOffset>
            </wp:positionH>
            <wp:positionV relativeFrom="paragraph">
              <wp:posOffset>-358140</wp:posOffset>
            </wp:positionV>
            <wp:extent cx="127952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9525" cy="6985"/>
                    </a:xfrm>
                    <a:prstGeom prst="rect">
                      <a:avLst/>
                    </a:prstGeom>
                    <a:noFill/>
                  </pic:spPr>
                </pic:pic>
              </a:graphicData>
            </a:graphic>
          </wp:anchor>
        </w:drawing>
      </w:r>
    </w:p>
    <w:p>
      <w:pPr>
        <w:spacing w:after="0" w:line="1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Intangible assets, net, all of which are finite-lived, consisted of the following (in thousands):</w:t>
      </w:r>
    </w:p>
    <w:p>
      <w:pPr>
        <w:spacing w:after="0" w:line="92"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5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Pr>
          <w:p>
            <w:pPr>
              <w:spacing w:after="0"/>
              <w:rPr>
                <w:sz w:val="11"/>
                <w:szCs w:val="11"/>
                <w:color w:val="auto"/>
              </w:rPr>
            </w:pPr>
          </w:p>
        </w:tc>
      </w:tr>
      <w:tr>
        <w:trPr>
          <w:trHeight w:val="16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Capitalized milestone payments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2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56"/>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(129)</w:t>
            </w:r>
          </w:p>
        </w:tc>
      </w:tr>
      <w:tr>
        <w:trPr>
          <w:trHeight w:val="203"/>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7,241</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7,371</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4762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-6350</wp:posOffset>
            </wp:positionV>
            <wp:extent cx="4762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919" w:firstLine="351"/>
        <w:spacing w:after="0" w:line="292" w:lineRule="auto"/>
        <w:rPr>
          <w:sz w:val="20"/>
          <w:szCs w:val="20"/>
          <w:color w:val="auto"/>
        </w:rPr>
      </w:pPr>
      <w:r>
        <w:rPr>
          <w:rFonts w:ascii="Times New Roman" w:cs="Times New Roman" w:eastAsia="Times New Roman" w:hAnsi="Times New Roman"/>
          <w:sz w:val="14"/>
          <w:szCs w:val="14"/>
          <w:color w:val="auto"/>
        </w:rPr>
        <w:t>The amortization expense for the three months ended March 31, 2025 was $0.1 million. No intangible assets were held as of March 31, 2024, and there was no amortization expense recognized for the three months ended March 31, 2024.</w:t>
      </w:r>
    </w:p>
    <w:p>
      <w:pPr>
        <w:spacing w:after="0" w:line="124" w:lineRule="exact"/>
        <w:rPr>
          <w:sz w:val="20"/>
          <w:szCs w:val="20"/>
          <w:color w:val="auto"/>
        </w:rPr>
      </w:pPr>
    </w:p>
    <w:p>
      <w:pPr>
        <w:ind w:left="640" w:right="1099" w:firstLine="351"/>
        <w:spacing w:after="0" w:line="292" w:lineRule="auto"/>
        <w:rPr>
          <w:sz w:val="20"/>
          <w:szCs w:val="20"/>
          <w:color w:val="auto"/>
        </w:rPr>
      </w:pPr>
      <w:r>
        <w:rPr>
          <w:rFonts w:ascii="Times New Roman" w:cs="Times New Roman" w:eastAsia="Times New Roman" w:hAnsi="Times New Roman"/>
          <w:sz w:val="14"/>
          <w:szCs w:val="14"/>
          <w:color w:val="auto"/>
        </w:rPr>
        <w:t>As of March 31, 2025, estimated future amortization expense for capitalized intangible assets for the next five years is as follows (in thousands):</w:t>
      </w:r>
    </w:p>
    <w:p>
      <w:pPr>
        <w:spacing w:after="0" w:line="33"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63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Pr>
          <w:p>
            <w:pPr>
              <w:spacing w:after="0"/>
              <w:rPr>
                <w:sz w:val="11"/>
                <w:szCs w:val="11"/>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63"/>
        </w:trPr>
        <w:tc>
          <w:tcPr>
            <w:tcW w:w="20" w:type="dxa"/>
            <w:vAlign w:val="bottom"/>
          </w:tcPr>
          <w:p>
            <w:pPr>
              <w:spacing w:after="0"/>
              <w:rPr>
                <w:sz w:val="14"/>
                <w:szCs w:val="14"/>
                <w:color w:val="auto"/>
              </w:rPr>
            </w:pPr>
          </w:p>
        </w:tc>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2025 (remaining nine months)</w:t>
            </w: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2027</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2029</w:t>
            </w: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2,456</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5260340</wp:posOffset>
            </wp:positionH>
            <wp:positionV relativeFrom="paragraph">
              <wp:posOffset>-135890</wp:posOffset>
            </wp:positionV>
            <wp:extent cx="5461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8. Collaboration and Out-Licensing</w:t>
      </w:r>
    </w:p>
    <w:p>
      <w:pPr>
        <w:spacing w:after="0" w:line="99"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 xml:space="preserve">The Company has entered into collaboration and licensing agreements, including supply and distribution, to license certain rights to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to third parties. The terms of these arrangements typically include payment to the Company of one or more of the following: non-refundable, upfront license fees; clinical, regulatory, and/or commercial milestone payments; payment for clinical and commercial supply; and royalties or a transfer price on the net sales of licensed products.</w:t>
      </w:r>
    </w:p>
    <w:p>
      <w:pPr>
        <w:spacing w:after="0" w:line="138"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i w:val="1"/>
          <w:iCs w:val="1"/>
          <w:color w:val="auto"/>
        </w:rPr>
        <w:t>Licenses of Intellectual Property</w:t>
      </w:r>
      <w:r>
        <w:rPr>
          <w:rFonts w:ascii="Times New Roman" w:cs="Times New Roman" w:eastAsia="Times New Roman" w:hAnsi="Times New Roman"/>
          <w:sz w:val="14"/>
          <w:szCs w:val="14"/>
          <w:color w:val="auto"/>
        </w:rPr>
        <w:t>. If the license to the Company’s intellectual property is determined to be distinct from the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performance obligations identified in the arrangement, revenue is recognized from non-refundable, upfront payments allocated to the license when the license is transferred to the customer and the customer is able to use and benefit from the license. If the license is subject to repurchase by the Company, at its option, control of the license is not considered transferred to the customer, and in such case, the Company would account for the proceeds allocated to such license as either a financing obligation or a lease in accordance with ASC 606. Future amounts received related to the license which is subject to the Company’s repurchase would be accounted for as additional financing proceeds and would increase the financing obligation on the Company’s condensed consolidated balance sheet. The Company would record such financing obligation as revenue when the right to repurchase has lapsed or was exercised.</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20" w:name="page21"/>
    <w:bookmarkEnd w:id="20"/>
    <w:p>
      <w:pPr>
        <w:ind w:left="640" w:right="819" w:firstLine="422"/>
        <w:spacing w:after="0" w:line="268" w:lineRule="auto"/>
        <w:rPr>
          <w:sz w:val="20"/>
          <w:szCs w:val="20"/>
          <w:color w:val="auto"/>
        </w:rPr>
      </w:pPr>
      <w:r>
        <w:rPr>
          <w:rFonts w:ascii="Times New Roman" w:cs="Times New Roman" w:eastAsia="Times New Roman" w:hAnsi="Times New Roman"/>
          <w:sz w:val="14"/>
          <w:szCs w:val="14"/>
          <w:color w:val="auto"/>
        </w:rPr>
        <w:t>If the license is not a distinct performance obligation, the Company evaluates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38"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i w:val="1"/>
          <w:iCs w:val="1"/>
          <w:color w:val="auto"/>
        </w:rPr>
        <w:t>Milestone Payments</w:t>
      </w:r>
      <w:r>
        <w:rPr>
          <w:rFonts w:ascii="Times New Roman" w:cs="Times New Roman" w:eastAsia="Times New Roman" w:hAnsi="Times New Roman"/>
          <w:sz w:val="14"/>
          <w:szCs w:val="14"/>
          <w:color w:val="auto"/>
        </w:rPr>
        <w:t>. At the inception of each arrangement that includes clinical, regulatory or commercial milestone payments,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Company evaluates whether achieving the milestones is considered probable and estimates the amount to be included in the transaction price using the most likely amount method. If it is probable that a significant revenue reversal would not occur, the value of the associated milestone is included in the transaction price. Milestone payments that are not within the Company’s control, such as approvals from regulators or where attainment of the specified event is dependent on the development activities of a third party, are not considered probable of being achieved until those approvals are received or the specified event occurs. Revenue is recognized when the underlying performance obligation has been met.</w:t>
      </w:r>
    </w:p>
    <w:p>
      <w:pPr>
        <w:spacing w:after="0" w:line="144"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Transaction Price Allocation. </w:t>
      </w:r>
      <w:r>
        <w:rPr>
          <w:rFonts w:ascii="Times New Roman" w:cs="Times New Roman" w:eastAsia="Times New Roman" w:hAnsi="Times New Roman"/>
          <w:sz w:val="14"/>
          <w:szCs w:val="14"/>
          <w:color w:val="auto"/>
        </w:rPr>
        <w:t>At the inception of each arrangement, the Company identifies its distinct performance obligations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allocates the transaction price to the performance obligations based upon their relative standalone selling prices. Standalone selling price is the price at which an entity would sell a promised good or service separately to a customer. The best evidence of standalone selling price is an observable price of a good or service when sold separately by an entity in similar circumstances to similar customers. Since the Company typically does not have such evidence, the Company estimates standalone selling price so that the amount that is allocated to each performance obligation equals the amount that the Company expects to receive for transferring the promised goods or services. The methods that the Company uses to make such estimates include (1) the adjusted market assessment approach, under which the Company forecasts product sales in the appropriate market, considers probability of commercialization success, and estimates discount rates; and (2) the expected cost of satisfying the performance obligations inclusive of a reasonable margin, also known as the expected cost plus margin approach.</w:t>
      </w:r>
    </w:p>
    <w:p>
      <w:pPr>
        <w:spacing w:after="0" w:line="146" w:lineRule="exact"/>
        <w:rPr>
          <w:sz w:val="20"/>
          <w:szCs w:val="20"/>
          <w:color w:val="auto"/>
        </w:rPr>
      </w:pPr>
    </w:p>
    <w:p>
      <w:pPr>
        <w:ind w:left="640" w:right="679" w:firstLine="351"/>
        <w:spacing w:after="0" w:line="269" w:lineRule="auto"/>
        <w:rPr>
          <w:sz w:val="20"/>
          <w:szCs w:val="20"/>
          <w:color w:val="auto"/>
        </w:rPr>
      </w:pPr>
      <w:r>
        <w:rPr>
          <w:rFonts w:ascii="Times New Roman" w:cs="Times New Roman" w:eastAsia="Times New Roman" w:hAnsi="Times New Roman"/>
          <w:sz w:val="14"/>
          <w:szCs w:val="14"/>
          <w:i w:val="1"/>
          <w:iCs w:val="1"/>
          <w:color w:val="auto"/>
        </w:rPr>
        <w:t>Research and Development Revenues</w:t>
      </w:r>
      <w:r>
        <w:rPr>
          <w:rFonts w:ascii="Times New Roman" w:cs="Times New Roman" w:eastAsia="Times New Roman" w:hAnsi="Times New Roman"/>
          <w:sz w:val="14"/>
          <w:szCs w:val="14"/>
          <w:color w:val="auto"/>
        </w:rPr>
        <w:t>. For arrangements that contain research and development commitments, any arrangement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consideration allocated to the research and development work is recognized as the underlying services are performed over the research and development term, if the criteria for over time recognition are met. If the over time recognition criteria are not met, research and development performance obligations are recognized at a point in time, when the research and development work is completed.</w:t>
      </w:r>
    </w:p>
    <w:p>
      <w:pPr>
        <w:spacing w:after="0" w:line="137" w:lineRule="exact"/>
        <w:rPr>
          <w:sz w:val="20"/>
          <w:szCs w:val="20"/>
          <w:color w:val="auto"/>
        </w:rPr>
      </w:pPr>
    </w:p>
    <w:p>
      <w:pPr>
        <w:jc w:val="both"/>
        <w:ind w:left="640" w:right="799" w:firstLine="351"/>
        <w:spacing w:after="0" w:line="275" w:lineRule="auto"/>
        <w:rPr>
          <w:sz w:val="20"/>
          <w:szCs w:val="20"/>
          <w:color w:val="auto"/>
        </w:rPr>
      </w:pPr>
      <w:r>
        <w:rPr>
          <w:rFonts w:ascii="Times New Roman" w:cs="Times New Roman" w:eastAsia="Times New Roman" w:hAnsi="Times New Roman"/>
          <w:sz w:val="14"/>
          <w:szCs w:val="14"/>
          <w:i w:val="1"/>
          <w:iCs w:val="1"/>
          <w:color w:val="auto"/>
        </w:rPr>
        <w:t>Clinical and Commercial Supply</w:t>
      </w:r>
      <w:r>
        <w:rPr>
          <w:rFonts w:ascii="Times New Roman" w:cs="Times New Roman" w:eastAsia="Times New Roman" w:hAnsi="Times New Roman"/>
          <w:sz w:val="14"/>
          <w:szCs w:val="14"/>
          <w:color w:val="auto"/>
        </w:rPr>
        <w:t>. Arrangements that include a promise for the future supply of drug product for either clinical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development or commercial supply at the licensee’s discretion are generally considered customer options. The Company assesses if these options provide a material right to the licensee and if so, they are accounted for as separate performance obligations.</w:t>
      </w:r>
    </w:p>
    <w:p>
      <w:pPr>
        <w:spacing w:after="0" w:line="134" w:lineRule="exact"/>
        <w:rPr>
          <w:sz w:val="20"/>
          <w:szCs w:val="20"/>
          <w:color w:val="auto"/>
        </w:rPr>
      </w:pPr>
    </w:p>
    <w:p>
      <w:pPr>
        <w:ind w:left="640" w:right="71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Royalty/Transfer Price Revenues</w:t>
      </w:r>
      <w:r>
        <w:rPr>
          <w:rFonts w:ascii="Times New Roman" w:cs="Times New Roman" w:eastAsia="Times New Roman" w:hAnsi="Times New Roman"/>
          <w:sz w:val="14"/>
          <w:szCs w:val="14"/>
          <w:color w:val="auto"/>
        </w:rPr>
        <w:t>. For arrangements that include sales-based royalties or transfer price, including milestone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payments based on the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The Company has not received any royalty or transfer price revenues as of March 31, 2025.</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Alfresa Agreement</w:t>
      </w:r>
    </w:p>
    <w:p>
      <w:pPr>
        <w:spacing w:after="0" w:line="101"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 xml:space="preserve">In March 2020, the Company signed a Letter of Intent (“LOI”) with Alfresa Pharma Corporation (“Alfresa”) for the right to negotiate a definitive agreement for the exclusive license and sublicensable right to develop, register, import, manufacture and 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Japan in exchange for an upfront payment of $2.0 million. In April 2020, the Company entered into a Collaboration and License Agreement for the rights pursuant to the LOI. Under the agreement, the Company delivered a license to </w:t>
      </w:r>
      <w:r>
        <w:rPr>
          <w:rFonts w:ascii="Times New Roman" w:cs="Times New Roman" w:eastAsia="Times New Roman" w:hAnsi="Times New Roman"/>
          <w:sz w:val="14"/>
          <w:szCs w:val="14"/>
          <w:i w:val="1"/>
          <w:iCs w:val="1"/>
          <w:color w:val="auto"/>
        </w:rPr>
        <w:t xml:space="preserve">neffy </w:t>
      </w:r>
      <w:r>
        <w:rPr>
          <w:rFonts w:ascii="Times New Roman" w:cs="Times New Roman" w:eastAsia="Times New Roman" w:hAnsi="Times New Roman"/>
          <w:sz w:val="14"/>
          <w:szCs w:val="14"/>
          <w:color w:val="auto"/>
        </w:rPr>
        <w:t>technology, completed a required clinical study, and remains obligated to use commercially reasonable efforts to develop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Japan. The parties agreed to share the cost of any additional clinical studies required for approval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Japan. Alfresa is solely responsible for regulatory and commercialization activities and may elect to assume responsibility for manufacturing and supplying drug product for commercial use in Japan. Either party may terminate the agreement for certain breaches of the agreement. Unless terminated earlier by either or both parties, the term of the agreement will continue until the later of (i) expiration of the last-to-expire patent in Japan; or (ii) 10 years after the commercial sale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Japan.</w:t>
      </w:r>
    </w:p>
    <w:p>
      <w:pPr>
        <w:spacing w:after="0" w:line="146" w:lineRule="exact"/>
        <w:rPr>
          <w:sz w:val="20"/>
          <w:szCs w:val="20"/>
          <w:color w:val="auto"/>
        </w:rPr>
      </w:pPr>
    </w:p>
    <w:p>
      <w:pPr>
        <w:ind w:left="640" w:right="979" w:firstLine="351"/>
        <w:spacing w:after="0" w:line="268" w:lineRule="auto"/>
        <w:rPr>
          <w:sz w:val="20"/>
          <w:szCs w:val="20"/>
          <w:color w:val="auto"/>
        </w:rPr>
      </w:pPr>
      <w:r>
        <w:rPr>
          <w:rFonts w:ascii="Times New Roman" w:cs="Times New Roman" w:eastAsia="Times New Roman" w:hAnsi="Times New Roman"/>
          <w:sz w:val="14"/>
          <w:szCs w:val="14"/>
          <w:color w:val="auto"/>
        </w:rPr>
        <w:t xml:space="preserve">In addition to the $2.0 million received under the LOI, the Company was initially eligible to receive up to $13.0 million of milestone payments upon achievement of certain clinical and regulatory milestones. Further, the Company is eligible to receive a negotiable transfer price expected to be in the low double-digit percentage on net sales subject to the regulatory approval to 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Japan.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21" w:name="page22"/>
    <w:bookmarkEnd w:id="21"/>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 xml:space="preserve">At the commencement of this collaboration, the Company identified the following performance obligations: the license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research and development services, both of which have been completed. The Company determined the initial transaction price to be $7.0 million, which includes a clinical milestone as it was deemed not probable of significant reversal at the inception of the agreement. Due to the uncertainty in the achievement of the regulatory and commercial milestones, the variable consideration associated with these future milestone payments has been fully constrained and is excluded from the transaction price until such time that the Company concludes that it is probable that a significant reversal of previously recognized revenue will not occur. These estimates will be reassessed at each reporting period. The transaction price was allocated to the performance obligations based on the estimated stand-alone selling price of each performance obligation.</w:t>
      </w:r>
    </w:p>
    <w:p>
      <w:pPr>
        <w:spacing w:after="0" w:line="148"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In July 2020, the Company earned a $5.0 million milestone payment upon the completion of a clinical milestone in Japan. In November 2024, the Company earned a $6.0 million milestone payment upon the completion of a regulatory milestone in Japan. Of the $13.0 million in milestone payments that the company was eligible to earn, $11.0 million in milestone payments has been earned and a final $2.0 million regulatory milestone remains. For the three months ended March 31, 2025 and 2024, the Company recognized no revenue related to the Alfresa Agreement. As of both March 31, 2025 and December 31, 2024, there was no contract liability recorded for the final regulatory milestone.</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Recordati Agreement</w:t>
      </w:r>
    </w:p>
    <w:p>
      <w:pPr>
        <w:spacing w:after="0" w:line="101" w:lineRule="exact"/>
        <w:rPr>
          <w:sz w:val="20"/>
          <w:szCs w:val="20"/>
          <w:color w:val="auto"/>
        </w:rPr>
      </w:pPr>
    </w:p>
    <w:p>
      <w:pPr>
        <w:ind w:left="640" w:right="879" w:firstLine="351"/>
        <w:spacing w:after="0" w:line="268" w:lineRule="auto"/>
        <w:rPr>
          <w:sz w:val="20"/>
          <w:szCs w:val="20"/>
          <w:color w:val="auto"/>
        </w:rPr>
      </w:pPr>
      <w:r>
        <w:rPr>
          <w:rFonts w:ascii="Times New Roman" w:cs="Times New Roman" w:eastAsia="Times New Roman" w:hAnsi="Times New Roman"/>
          <w:sz w:val="14"/>
          <w:szCs w:val="14"/>
          <w:color w:val="auto"/>
        </w:rPr>
        <w:t xml:space="preserve">In September 2020, the Company entered into a License and Supply Agreement (the “Recordati Agreement”) with Recordati Ireland, Ltd. (“Recordati”) for the exclusive license and sublicensable right to develop, import, manufacture or have manufactured commercial product, file and hold regulatory approvals and 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Europe and certain European Free Trade Association, Russia/the Commonwealth of Independent States, Middle East and African countries (the “Recordati Territory”).</w:t>
      </w:r>
    </w:p>
    <w:p>
      <w:pPr>
        <w:spacing w:after="0" w:line="140" w:lineRule="exact"/>
        <w:rPr>
          <w:sz w:val="20"/>
          <w:szCs w:val="20"/>
          <w:color w:val="auto"/>
        </w:rPr>
      </w:pPr>
    </w:p>
    <w:p>
      <w:pPr>
        <w:ind w:left="640" w:right="999" w:firstLine="387"/>
        <w:spacing w:after="0" w:line="292" w:lineRule="auto"/>
        <w:rPr>
          <w:sz w:val="20"/>
          <w:szCs w:val="20"/>
          <w:color w:val="auto"/>
        </w:rPr>
      </w:pPr>
      <w:r>
        <w:rPr>
          <w:rFonts w:ascii="Times New Roman" w:cs="Times New Roman" w:eastAsia="Times New Roman" w:hAnsi="Times New Roman"/>
          <w:sz w:val="14"/>
          <w:szCs w:val="14"/>
          <w:color w:val="auto"/>
        </w:rPr>
        <w:t>Under the terms of the Recordati Agreement, the Company received an upfront payment of $11.8 million and a regulatory milestone payment of $6.0 million during 2020.</w:t>
      </w:r>
    </w:p>
    <w:p>
      <w:pPr>
        <w:spacing w:after="0" w:line="122"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 xml:space="preserve">At the commencement of this collaboration, the Company identified the following performance obligations: the license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the defined territory and the research and development services. The Company determined the initial transaction price to be the $11.8 million upfront payment. Due to the uncertainty in the achievement of all the developmental and commercial milestones, at inception of the contract, the variable consideration associated with future milestone payments was fully constrained and excluded from the transaction price until such time that the Company concludes that it is probable that a significant reversal of previously recognized revenue will not occur. The transaction price was allocated to the performance obligations based on the estimated stand-alone selling price of each performance obligation. In November 2020, the Company earned a regulatory milestone of $6.0 million.</w:t>
      </w:r>
    </w:p>
    <w:p>
      <w:pPr>
        <w:spacing w:after="0" w:line="146"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On February 22, 2023, the Company and Recordati entered into a termination agreement (the “Recordati Termination Agreement”), pursuant to which, among other things, the Company and Recordati agreed to terminate the Recordati Agreement. Pursuant to the Recordati Termination Agreement, the Company reacquired all of the Recordati rights, paid Recordati a one-time upfront payment of €3.0 million ($3.3 million in U.S. dollars), and has agreed to pay additional payments upon achievement of certain milestones including: (i) an EMA regulatory milestone payment of €2.0 million, (ii) a milestone payment of €5.0 million upon first commercial sale of a Recordati Licensed Product in the Recordati Territory, and (iii) royalty payments of up to €5.0 million in the aggregate from sales of Recordati Licensed Product(s) in the Recordati Territory (collectively, the “Recordati Rights”).</w:t>
      </w:r>
    </w:p>
    <w:p>
      <w:pPr>
        <w:spacing w:after="0" w:line="144"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 Company determined that the Recordati Rights at the time of entering into the Recordati Termination Agreement had no alternative future use and therefore recorded the €3.0 million upfront payment to Recordati as an IPR&amp;D expense presented within research and development expense. The Recordati Termination Agreement ended the Company’s performance obligations pursuant to the Recordati Agreement and consequently the existing contract liability of $3.1 million previously received from Recordati was recorded against IPR&amp;D expense presented within research and development expense in the accompanying condensed consolidated statements of operations and comprehensive income (loss). Accordingly, no revenue has been recognized subsequent to the Recordati Termination Agreement. In June 2024, the EMA regulatory milestone was met and a €2.0 million ($2.1 million in U.S. dollars) expense was recorded in research and development expense in the accompanying condensed consolidated statements of operations and comprehensive income (loss). The Company paid the EMA regulatory milestone to Recordati in July 2024.</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3" w:right="1440"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Pediatrix Agreement</w:t>
      </w:r>
    </w:p>
    <w:p>
      <w:pPr>
        <w:spacing w:after="0" w:line="101"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 xml:space="preserve">In March 2021, the Company entered into a Collaboration and Distribution Agreement with Pediatrix Therapeutics, Inc. (“Pediatrix”) for the exclusive license and sublicensable right to develop, import, manufacture or have manufactured commercial product, file and hold regulatory approvals and 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the People’s Republic of China, Taiwan, Macau, and Hong Kong. Under the agreement, Pediatrix is responsible, at its sole cost and expense, for all ongoing development work that is necessary for or otherwise supports regulatory approval in the defined territory, including all clinical trials, and activities related to post-approval commitments and commercialization tests. In addition, Pediatrix is responsible for commercialization activities and may elect to assume responsibility for manufacturing and supplying drug product for commercial use. The Company is responsible for the manufacturing of product for clinical studies as well as commercial supply, all at a negotiated transfer price. Either party may terminate the agreement for certain breaches of the agreement. Unless terminated earlier by either or both parties, the term of the agreement will continue as long as Pediatrix has commercial sales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the region, or 10 years after the first commercial sale.</w:t>
      </w:r>
    </w:p>
    <w:p>
      <w:pPr>
        <w:spacing w:after="0" w:line="146" w:lineRule="exact"/>
        <w:rPr>
          <w:sz w:val="20"/>
          <w:szCs w:val="20"/>
          <w:color w:val="auto"/>
        </w:rPr>
      </w:pPr>
    </w:p>
    <w:p>
      <w:pPr>
        <w:ind w:left="640" w:right="659" w:firstLine="351"/>
        <w:spacing w:after="0" w:line="267" w:lineRule="auto"/>
        <w:rPr>
          <w:sz w:val="20"/>
          <w:szCs w:val="20"/>
          <w:color w:val="auto"/>
        </w:rPr>
      </w:pPr>
      <w:r>
        <w:rPr>
          <w:rFonts w:ascii="Times New Roman" w:cs="Times New Roman" w:eastAsia="Times New Roman" w:hAnsi="Times New Roman"/>
          <w:sz w:val="14"/>
          <w:szCs w:val="14"/>
          <w:color w:val="auto"/>
        </w:rPr>
        <w:t>Under the terms of the agreement, the Company received an upfront payment of $3.0 million. In addition, the Company is eligible to receive up to $84.0 million of milestone payments upon achievement of certain regulatory and commercial sales milestones. The next eligible milestone is a $4.0 million regulatory milestone. Subject to regulatory approval, the Company will earn tiered royalties in the low double-digits on annual net sales in the region and will receive a per unit supply price for the sale of commercial supply to Pediatrix.</w:t>
      </w:r>
    </w:p>
    <w:p>
      <w:pPr>
        <w:spacing w:after="0" w:line="315"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 xml:space="preserve">At the commencement of this collaboration, the Company identified performance obligations related to the delivery of the license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the defined territory and manufacturing of product for clinical studies and commercial supply. The Company concluded that the license was distinct from potential supply obligation. The supply provisions are effectively options granted to Pediatrix to purchase future goods and did not contain a material right. The Company determined the initial transaction price to be the $3.0 million upfront payment. Due to the uncertainty in the achievement of all the developmental and commercial milestones, the variable consideration associated with these future milestone payments has been fully constrained and is excluded from the transaction price until such time that the Company concludes that it is probable that a significant reversal of previously recognized revenue will not occur. These estimates will be reassessed at each reporting period. The Company recognized revenue of the full $3.0 million during the year ended December 31, 2021.</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Seqirus Agreement</w:t>
      </w:r>
    </w:p>
    <w:p>
      <w:pPr>
        <w:spacing w:after="0" w:line="101"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 xml:space="preserve">In March 2024, the Company entered into a License and Distribution Agreement (the “Seqirus Agreement”) with Seqirus Pty, Ltd. (“Seqirus”) for the exclusive license to 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Australia and New Zealand (the “Seqirus Territory”). Under the Seqirus Agreement, the Company is responsible for the transfer of know-how, which includes regulatory materials, regulatory data, and commercialization data, and also for the manufacturing of product for commercial supply which is available to Seqirus at a negotiated price. Seqirus is solely responsible for all regulatory and commercialization activities in the Seqirus Territory. Either party may terminate the Seqirus Agreement for certain breaches. Unless terminated earlier by either or both parties, the initial term of the Seqirus Agreement is 15 years from the first commercial sale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the Seqirus Territory. The Seqirus Agreement will automatically renew for two-year periods unless either party gives a notice to terminate at least 12 months prior to the end of the initial or any renewal term.</w:t>
      </w:r>
    </w:p>
    <w:p>
      <w:pPr>
        <w:spacing w:after="0" w:line="318" w:lineRule="exact"/>
        <w:rPr>
          <w:sz w:val="20"/>
          <w:szCs w:val="20"/>
          <w:color w:val="auto"/>
        </w:rPr>
      </w:pPr>
    </w:p>
    <w:p>
      <w:pPr>
        <w:jc w:val="both"/>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Under the terms of the Seqirus Agreement, the Company received an upfront payment of $0.5 million in May 2024. In addition, the Company was eligible to receive up to $4.5 million of milestone payments upon achievement of certain event milestones. Subject to regulatory approval in Australia and New Zealand, the Company will also receive a per unit supply price for the sale of commercial supply to Seqirus.</w:t>
      </w:r>
    </w:p>
    <w:p>
      <w:pPr>
        <w:spacing w:after="0" w:line="140"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 xml:space="preserve">At the commencement of this collaboration, the Company identified one performance obligation which is the delivery of the license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the Seqirus Territory in combination with the transfer of know-how. The Company determined that the option to purchase the commercial supply does not represent a material right. The Company determined the initial transaction price to be the $0.5 million upfront payment. Due to the uncertainty in the achievement of all the regulatory milestones, the variable consideration associated with these future milestone payments has been fully constrained and is excluded from the transaction price until such time that the Company concludes that it is probable that a significant reversal of previously recognized revenue will not occur. The variable consideration will be reassessed at each reporting period. In May 2024, the Company delivered the license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the Seqirus Territory in combination with the transfer of know-how and recognized $0.5 million in revenue. In August 2024, the first milestone event was met and the Company recognized $1.5 million in revenue.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23" w:name="page24"/>
    <w:bookmarkEnd w:id="23"/>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ALK Collaboration Agreement</w:t>
      </w:r>
    </w:p>
    <w:p>
      <w:pPr>
        <w:spacing w:after="0" w:line="101"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 xml:space="preserve">In November 2024, the Company entered into a Collaboration, License and Distribution Agreement (the “ALK Collaboration Agreement”) with ALK-Abelló A/S (“ALK”). Pursuant to the ALK Collaboration Agreement, the Company granted to ALK a worldwide (other than the United States, Japan, mainland China, Hong Kong, Taiwan, Macau, Australia and New Zealand) (“ALK Territory”), exclusive license under certain of the Company’s patents and know-how to develop, manufacture and commercialize products containing epinephrine administered intranasally, including </w:t>
      </w:r>
      <w:r>
        <w:rPr>
          <w:rFonts w:ascii="Times New Roman" w:cs="Times New Roman" w:eastAsia="Times New Roman" w:hAnsi="Times New Roman"/>
          <w:sz w:val="14"/>
          <w:szCs w:val="14"/>
          <w:i w:val="1"/>
          <w:iCs w:val="1"/>
          <w:color w:val="auto"/>
        </w:rPr>
        <w:t>EURneffy</w:t>
      </w:r>
      <w:r>
        <w:rPr>
          <w:rFonts w:ascii="Times New Roman" w:cs="Times New Roman" w:eastAsia="Times New Roman" w:hAnsi="Times New Roman"/>
          <w:sz w:val="14"/>
          <w:szCs w:val="14"/>
          <w:color w:val="auto"/>
        </w:rPr>
        <w:t xml:space="preserve"> (the trade name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the European Union) (epinephrine nasal spray) (“Products”), for all human uses, including the immediate or emergency treatment of allergic reactions (including Type I) and anaphylaxis and urticaria, and other future indications as agreed by the parties. If the Company develops any new intranasally administered product that contains epinephrine and files a new drug application in the United States for such product (“New Product”), upon ALK’s request such New Product will be included as a Product under the ALK Collaboration Agreement, subject to ALK bearing the costs of development of such New Product for its licensed territory.</w:t>
      </w:r>
    </w:p>
    <w:p>
      <w:pPr>
        <w:spacing w:after="0" w:line="146"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Under the ALK Collaboration Agreement, the Company is obligated to transfer to ALK the existing marketing authorizations for the Products in ALK’s territory. The Company is also required to conduct certain development and regulatory activities for Products in support of obtaining further regulatory approval of Products in ALK’s territory and will transfer such regulatory approvals to ALK. ALK is obligated to use commercially reasonable efforts to obtain and maintain regulatory approval for Products through the European Commission and within specified countries within ALK’s territory. Following such approval for a Product in each indication within specified countries within ALK’s territory, ALK is obligated to use commercially reasonable efforts to commercialize such Product in such indication in such countries and to achieve first commercial sale of a Product in certain countries in accordance with a timeline specified in the ALK Collaboration Agreement.</w:t>
      </w:r>
    </w:p>
    <w:p>
      <w:pPr>
        <w:spacing w:after="0" w:line="146" w:lineRule="exact"/>
        <w:rPr>
          <w:sz w:val="20"/>
          <w:szCs w:val="20"/>
          <w:color w:val="auto"/>
        </w:rPr>
      </w:pPr>
    </w:p>
    <w:p>
      <w:pPr>
        <w:ind w:left="640" w:right="739" w:firstLine="351"/>
        <w:spacing w:after="0" w:line="262" w:lineRule="auto"/>
        <w:rPr>
          <w:sz w:val="20"/>
          <w:szCs w:val="20"/>
          <w:color w:val="auto"/>
        </w:rPr>
      </w:pPr>
      <w:r>
        <w:rPr>
          <w:rFonts w:ascii="Times New Roman" w:cs="Times New Roman" w:eastAsia="Times New Roman" w:hAnsi="Times New Roman"/>
          <w:sz w:val="14"/>
          <w:szCs w:val="14"/>
          <w:color w:val="auto"/>
        </w:rPr>
        <w:t>Under the ALK Collaboration Agreement, ALK made a $145.0 million upfront payment to the Company in November 2024. The Company is eligible to receive regulatory and commercialization milestones of up to $20.0 million and sales-based milestones of up to $300.0 million, provided that $55.0 million of such sales-based milestones are contingent upon the Company obtaining regulatory approval for the Product in Canada by a specified time. The Company is entitled to receive tiered royalty payments on net sales in the mid- to high-teens, subject to certain standard reductions and offsets. Royalties will be payable, on a Product-by-Product and country-by-country basis, until the latest of the expiration of the licensed patents covering such Product in such country, 15 years from first commercial sale of such Product in such country, or expiration of regulatory exclusivity for such Product in such country.</w:t>
      </w:r>
    </w:p>
    <w:p>
      <w:pPr>
        <w:spacing w:after="0" w:line="144"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auto"/>
        </w:rPr>
        <w:t>The contract will expire upon the expiration of the last to expire royalty term for all Products in the ALK Territory, unless terminated earlier. Either the Company or ALK may terminate the ALK Collaboration Agreement in the case of the other party’s insolvency or in the event of an uncured material breach of the other party, except that the Company may not terminate the ALK Collaboration Agreement for ALK’s material breach of its commercial diligence obligations. ALK may terminate the ALK Collaboration Agreement for convenience upon 12 months’ prior written notice or for a safety or regulatory concern. The Company may terminate the ALK Collaboration Agreement in the event ALK makes certain challenges to certain of the Company’s patents. Prior to a change of control and outside of a set period of time after which the Company commences change of control negotiations, the Company may terminate the ALK Collaboration Agreement with respect to all countries in the European Economic Area (“EEA”) upon prior written notice to ALK and payment of a termination fee that is the higher of an agreed mid-nine digit amount and the fair market value of the Products business in the EEA at the time of such termination (the “Repurchase Option”). The Company may also terminate the ALK Collaboration Agreement if ALK commercializes a non-injectable epinephrine product or manufactures such a product in the United States.</w:t>
      </w:r>
    </w:p>
    <w:p>
      <w:pPr>
        <w:spacing w:after="0" w:line="149"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In connection with the ALK Collaboration Agreement, the Company and ALK also entered into a commercial supply agreement (the “ALK Supply Agreement”) in November 2024, under which the Company will supply ALK’s requirements (and ALK will purchase from the Company its requirements) of Products for five years for a specified supply price, after which ALK may elect to transition to itself or its contract manufacturer the manufacture and supply of Products. The contract term for the ALK Supply Agreement is coterminous with the ALK Collaboration Agreement. Either the Company or ALK may terminate the ALK Supply Agreement in the event of an uncured material breach of the other party.</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Accounting Assessment</w:t>
      </w:r>
    </w:p>
    <w:p>
      <w:pPr>
        <w:spacing w:after="0" w:line="99" w:lineRule="exact"/>
        <w:rPr>
          <w:sz w:val="20"/>
          <w:szCs w:val="20"/>
          <w:color w:val="auto"/>
        </w:rPr>
      </w:pPr>
    </w:p>
    <w:p>
      <w:pPr>
        <w:ind w:left="640" w:right="659" w:firstLine="516"/>
        <w:spacing w:after="0" w:line="262" w:lineRule="auto"/>
        <w:rPr>
          <w:sz w:val="20"/>
          <w:szCs w:val="20"/>
          <w:color w:val="auto"/>
        </w:rPr>
      </w:pPr>
      <w:r>
        <w:rPr>
          <w:rFonts w:ascii="Times New Roman" w:cs="Times New Roman" w:eastAsia="Times New Roman" w:hAnsi="Times New Roman"/>
          <w:sz w:val="14"/>
          <w:szCs w:val="14"/>
          <w:color w:val="auto"/>
        </w:rPr>
        <w:t>The Company concluded that the ALK Collaboration Agreement and the ALK Supply Agreement qualify as a contract with a customer under ASC 606 as one combined arrangement. The Company identified the following performance obligations: (i) exclusive commercialization license in the European Economic Area (the “EEA License”); (ii) exclusive commercialization license in the rest of the ALK Territory (the “ROW License”) and; (iii) five separate development and regulatory services performance obligations. The Company also evaluated the (i) promise to add a New Product and new indications to the ALK Collaboration Agreement, and (ii) the promises under the ALK Supply Agreement, and concluded that these promises did not meet the definition of a performance obligation nor did these promises convey a material right to ALK.</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24" w:name="page25"/>
    <w:bookmarkEnd w:id="24"/>
    <w:p>
      <w:pPr>
        <w:ind w:left="640" w:right="659" w:firstLine="516"/>
        <w:spacing w:after="0" w:line="259" w:lineRule="auto"/>
        <w:rPr>
          <w:sz w:val="20"/>
          <w:szCs w:val="20"/>
          <w:color w:val="auto"/>
        </w:rPr>
      </w:pPr>
      <w:r>
        <w:rPr>
          <w:rFonts w:ascii="Times New Roman" w:cs="Times New Roman" w:eastAsia="Times New Roman" w:hAnsi="Times New Roman"/>
          <w:sz w:val="14"/>
          <w:szCs w:val="14"/>
          <w:color w:val="auto"/>
        </w:rPr>
        <w:t>The Company determined that the non-refundable upfront payment of $145.0 million is the estimated transaction price at contract inception. The outstanding regulatory milestone payments (totaling $15.0 million) were fully constrained at contract inception and as of March 31, 2025 as a result of the uncertainty of whether any of the milestones will be achieved. In making the assessment of the constraint utilizing the most likely amount method, the Company considered the stage of development, and the risks associated with the remaining development required to achieve the milestones, as well as whether the achievement of the milestone is outside the control of the Company or ALK. The Company has determined that the commercial milestone ($5.0 million) and the sales-based milestones and royalties will be recognized on the later of when the related sales occur or when control of the associated license has been transferred, as the Company determined that such sales-based consideration relates predominantly to the licenses granted to ALK. The Company reevaluates the transaction price at the end of each reporting period and as uncertain events are resolved or other changes in circumstances occur and will include regulatory milestones in the transaction price if it is probable that a significant revenue reversal will not occur in future periods.</w:t>
      </w:r>
    </w:p>
    <w:p>
      <w:pPr>
        <w:spacing w:after="0" w:line="151" w:lineRule="exact"/>
        <w:rPr>
          <w:sz w:val="20"/>
          <w:szCs w:val="20"/>
          <w:color w:val="auto"/>
        </w:rPr>
      </w:pPr>
    </w:p>
    <w:p>
      <w:pPr>
        <w:ind w:left="640" w:right="659" w:firstLine="516"/>
        <w:spacing w:after="0" w:line="263" w:lineRule="auto"/>
        <w:rPr>
          <w:sz w:val="20"/>
          <w:szCs w:val="20"/>
          <w:color w:val="auto"/>
        </w:rPr>
      </w:pPr>
      <w:r>
        <w:rPr>
          <w:rFonts w:ascii="Times New Roman" w:cs="Times New Roman" w:eastAsia="Times New Roman" w:hAnsi="Times New Roman"/>
          <w:sz w:val="14"/>
          <w:szCs w:val="14"/>
          <w:color w:val="auto"/>
        </w:rPr>
        <w:t>At contract inception, the Company determined the estimated standalone selling prices for each performance obligation in order to allocate the transaction price among the performance obligations. The standalone selling price for the licenses was estimated using the adjusted market assessment approach. Under this method, the Company forecasted future cash flows expected in the ALK Territory, the probability of commercialization success, and a market discount rate. To estimate the standalone selling prices of the development and regulatory services, the Company forecasted its expected costs of satisfying each performance obligation inclusive of an appropriate margin for that service.</w:t>
      </w:r>
    </w:p>
    <w:p>
      <w:pPr>
        <w:spacing w:after="0" w:line="144" w:lineRule="exact"/>
        <w:rPr>
          <w:sz w:val="20"/>
          <w:szCs w:val="20"/>
          <w:color w:val="auto"/>
        </w:rPr>
      </w:pPr>
    </w:p>
    <w:p>
      <w:pPr>
        <w:ind w:left="640" w:right="659" w:firstLine="516"/>
        <w:spacing w:after="0" w:line="268" w:lineRule="auto"/>
        <w:rPr>
          <w:sz w:val="20"/>
          <w:szCs w:val="20"/>
          <w:color w:val="auto"/>
        </w:rPr>
      </w:pPr>
      <w:r>
        <w:rPr>
          <w:rFonts w:ascii="Times New Roman" w:cs="Times New Roman" w:eastAsia="Times New Roman" w:hAnsi="Times New Roman"/>
          <w:sz w:val="14"/>
          <w:szCs w:val="14"/>
          <w:color w:val="auto"/>
        </w:rPr>
        <w:t>The Company allocated the total transaction price to each performance obligation on a relative standalone selling price basis and determined whether revenue should be recognized at a point in time or over time. The Company allocated $69.4 million to the EEA License performance obligation; $73.1 million to the ROW License performance obligation; and $2.6 million to the development and regulatory services performance obligations.</w:t>
      </w:r>
    </w:p>
    <w:p>
      <w:pPr>
        <w:spacing w:after="0" w:line="140" w:lineRule="exact"/>
        <w:rPr>
          <w:sz w:val="20"/>
          <w:szCs w:val="20"/>
          <w:color w:val="auto"/>
        </w:rPr>
      </w:pPr>
    </w:p>
    <w:p>
      <w:pPr>
        <w:ind w:left="640" w:right="699" w:firstLine="516"/>
        <w:spacing w:after="0" w:line="260" w:lineRule="auto"/>
        <w:rPr>
          <w:sz w:val="20"/>
          <w:szCs w:val="20"/>
          <w:color w:val="auto"/>
        </w:rPr>
      </w:pPr>
      <w:r>
        <w:rPr>
          <w:rFonts w:ascii="Times New Roman" w:cs="Times New Roman" w:eastAsia="Times New Roman" w:hAnsi="Times New Roman"/>
          <w:sz w:val="14"/>
          <w:szCs w:val="14"/>
          <w:color w:val="auto"/>
        </w:rPr>
        <w:t>Revenue should be recognized when, or as, an entity satisfies a performance obligation by transferring a promised good or service to a customer, i.e., when the customer obtains control of the good or service. The licenses granted to ALK are being accounted for as distinct performance obligations. The licenses relate to functional intellectual property for which revenue is recognized at a point in time. In the case of the EEA License, the Company evaluated the impact of the Company’s Repurchase Option, and determined that, as a result of the Company’s ability to repurchase the license, control of the EEA License has not been transferred to ALK under ASC 606. The Company determined that the transaction price allocated to the EEA License should be accounted for as a financing liability, due to the repurchase price being greater than the original selling price of this performance obligation. Control of the EEA License will not be considered transferred to ALK until such time that the Repurchase Option lapses, which under the terms of the ALK Collaboration Agreement, will occur upon the expiration of the contract, or exercise by the Company of the Repurchase Option. In November 2024, the Company recognized the transaction price allocated to the EEA License of $69.4 million as a financing liability.</w:t>
      </w:r>
    </w:p>
    <w:p>
      <w:pPr>
        <w:spacing w:after="0" w:line="318" w:lineRule="exact"/>
        <w:rPr>
          <w:sz w:val="20"/>
          <w:szCs w:val="20"/>
          <w:color w:val="auto"/>
        </w:rPr>
      </w:pPr>
    </w:p>
    <w:p>
      <w:pPr>
        <w:ind w:left="640" w:right="859" w:firstLine="516"/>
        <w:spacing w:after="0" w:line="268" w:lineRule="auto"/>
        <w:rPr>
          <w:sz w:val="20"/>
          <w:szCs w:val="20"/>
          <w:color w:val="auto"/>
        </w:rPr>
      </w:pPr>
      <w:r>
        <w:rPr>
          <w:rFonts w:ascii="Times New Roman" w:cs="Times New Roman" w:eastAsia="Times New Roman" w:hAnsi="Times New Roman"/>
          <w:sz w:val="14"/>
          <w:szCs w:val="14"/>
          <w:color w:val="auto"/>
        </w:rPr>
        <w:t>In the case of the ROW License, the point in time for recognition of revenue was shortly after the inception of the contract because the customer obtained control of the license and was able to use and benefit from its right to use the intellectual property at that point. In November 2024, the Company recognized $73.1 million in revenue for the transaction price allocated to the ROW License.</w:t>
      </w:r>
    </w:p>
    <w:p>
      <w:pPr>
        <w:spacing w:after="0" w:line="140" w:lineRule="exact"/>
        <w:rPr>
          <w:sz w:val="20"/>
          <w:szCs w:val="20"/>
          <w:color w:val="auto"/>
        </w:rPr>
      </w:pPr>
    </w:p>
    <w:p>
      <w:pPr>
        <w:ind w:left="640" w:right="659" w:firstLine="516"/>
        <w:spacing w:after="0" w:line="260" w:lineRule="auto"/>
        <w:rPr>
          <w:sz w:val="20"/>
          <w:szCs w:val="20"/>
          <w:color w:val="auto"/>
        </w:rPr>
      </w:pPr>
      <w:r>
        <w:rPr>
          <w:rFonts w:ascii="Times New Roman" w:cs="Times New Roman" w:eastAsia="Times New Roman" w:hAnsi="Times New Roman"/>
          <w:sz w:val="14"/>
          <w:szCs w:val="14"/>
          <w:color w:val="auto"/>
        </w:rPr>
        <w:t>The development and regulatory services performance obligations under the ALK Collaboration Agreement each represent a separate performance obligation. The development and regulatory services, which are transferred to the customer over time, were provided to ALK from inception of the agreement and are expected to continue through 2028. Revenue related to the development and regulatory services performance obligations was initially recorded as contract liability and is being recognized as services are performed based on the costs incurred through the end of each reporting period, as a percentage of the estimated total costs to be incurred for these performance obligations. In November 2024, the Company recognized $0.5 million of revenue related to the development and regulatory services performance obligations. For the three months ended March 31, 2025, the Company recognized $0.2 million of revenue related to the development and regulatory services performance obligations. As of March 31, 2025, the accompanying consolidated balance sheet includes a contract liability of $0.5 million classified as current and $1.3 million classified as noncurrent, associated with these performance obligations, based on the expected period of performance for the development and regulatory services.</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25" w:name="page26"/>
    <w:bookmarkEnd w:id="25"/>
    <w:tbl>
      <w:tblPr>
        <w:tblLayout w:type="fixed"/>
        <w:tblInd w:w="640" w:type="dxa"/>
        <w:tblCellMar>
          <w:top w:w="0" w:type="dxa"/>
          <w:left w:w="0" w:type="dxa"/>
          <w:bottom w:w="0" w:type="dxa"/>
          <w:right w:w="0" w:type="dxa"/>
        </w:tblCellMar>
      </w:tblPr>
      <w:tr>
        <w:trPr>
          <w:trHeight w:val="188"/>
        </w:trPr>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ALK Contract Liability</w:t>
            </w: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980" w:type="dxa"/>
            <w:vAlign w:val="bottom"/>
            <w:gridSpan w:val="2"/>
          </w:tcPr>
          <w:p>
            <w:pPr>
              <w:jc w:val="right"/>
              <w:ind w:right="344"/>
              <w:spacing w:after="0"/>
              <w:rPr>
                <w:sz w:val="20"/>
                <w:szCs w:val="20"/>
                <w:color w:val="auto"/>
              </w:rPr>
            </w:pPr>
            <w:r>
              <w:rPr>
                <w:rFonts w:ascii="Times New Roman" w:cs="Times New Roman" w:eastAsia="Times New Roman" w:hAnsi="Times New Roman"/>
                <w:sz w:val="14"/>
                <w:szCs w:val="14"/>
                <w:color w:val="auto"/>
              </w:rPr>
              <w:t>A reconciliation of the contract liability from the ALK Collaboration Agreement is as follows (in thousands):</w:t>
            </w: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6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400" w:type="dxa"/>
            <w:vAlign w:val="bottom"/>
            <w:shd w:val="clear" w:color="auto" w:fill="CFF0FC"/>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Revenue recognized under the ALK Collaboration Agreement</w:t>
            </w:r>
          </w:p>
        </w:tc>
        <w:tc>
          <w:tcPr>
            <w:tcW w:w="4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March 31, 2025</w:t>
            </w:r>
          </w:p>
        </w:tc>
        <w:tc>
          <w:tcPr>
            <w:tcW w:w="400" w:type="dxa"/>
            <w:vAlign w:val="bottom"/>
            <w:tcBorders>
              <w:top w:val="single" w:sz="8" w:color="auto"/>
              <w:bottom w:val="single" w:sz="8" w:color="auto"/>
            </w:tcBorders>
            <w:shd w:val="clear" w:color="auto" w:fill="CFF0FC"/>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9. Commitments and Contingencies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In October 2021, the Company entered into a 38-month noncancelable lease for its current headquarters location consisting of</w:t>
      </w:r>
    </w:p>
    <w:p>
      <w:pPr>
        <w:spacing w:after="0" w:line="25" w:lineRule="exact"/>
        <w:rPr>
          <w:sz w:val="20"/>
          <w:szCs w:val="20"/>
          <w:color w:val="auto"/>
        </w:rPr>
      </w:pPr>
    </w:p>
    <w:p>
      <w:pPr>
        <w:ind w:left="640" w:right="759"/>
        <w:spacing w:after="0" w:line="259" w:lineRule="auto"/>
        <w:rPr>
          <w:sz w:val="20"/>
          <w:szCs w:val="20"/>
          <w:color w:val="auto"/>
        </w:rPr>
      </w:pPr>
      <w:r>
        <w:rPr>
          <w:rFonts w:ascii="Times New Roman" w:cs="Times New Roman" w:eastAsia="Times New Roman" w:hAnsi="Times New Roman"/>
          <w:sz w:val="14"/>
          <w:szCs w:val="14"/>
          <w:color w:val="auto"/>
        </w:rPr>
        <w:t>4,047 rentable square feet of office space in San Diego, California. Under the terms of the agreement, there is no option to extend the lease, and the Company is subject to additional charges for common area maintenance and other costs. Monthly rental payments due under the lease commenced on December 6, 2021 and escalate through the lease term. The Company prepaid the first month’s rent upon execution of the lease, and the lease agreement provided full rent abatement for the second and third months of the rental term. As there was not an implicit rate within the lease, the discount rate was determined by using a set of peer companies incremental borrowing rates.</w:t>
      </w:r>
    </w:p>
    <w:p>
      <w:pPr>
        <w:spacing w:after="0" w:line="147" w:lineRule="exact"/>
        <w:rPr>
          <w:sz w:val="20"/>
          <w:szCs w:val="20"/>
          <w:color w:val="auto"/>
        </w:rPr>
      </w:pPr>
    </w:p>
    <w:p>
      <w:pPr>
        <w:ind w:left="640" w:right="759" w:firstLine="351"/>
        <w:spacing w:after="0" w:line="260" w:lineRule="auto"/>
        <w:rPr>
          <w:sz w:val="20"/>
          <w:szCs w:val="20"/>
          <w:color w:val="auto"/>
        </w:rPr>
      </w:pPr>
      <w:r>
        <w:rPr>
          <w:rFonts w:ascii="Times New Roman" w:cs="Times New Roman" w:eastAsia="Times New Roman" w:hAnsi="Times New Roman"/>
          <w:sz w:val="14"/>
          <w:szCs w:val="14"/>
          <w:color w:val="auto"/>
        </w:rPr>
        <w:t>In January 2025, the Company entered into a lease amendment to its headquarters location lease (the “Headquarters Amendment”), pursuant to which the Company will relocate to a new premises located in the same building which consists of 9,254 rentable square feet of office space. The Company will take possession of the new office space when the landlord’s work is substantially complete, which is estimated to be July 1, 2025. The Company must vacate its current office space within 15 days of taking possession of the new premises. The term of the lease will be extended to 36 full calendar months following the date the Company takes possession of the new office space. As of March 31, 2025, the remaining lease term was three months, subject to the substantial completion of the new office space. The monthly lease payments will increase when the Company takes possession of the new space and escalate through the lease term, resulting in an annualized payment of $0.6 million. The Company remains subject to additional charges for common area maintenance and other costs. The Company has one option to extend the lease for an additional term of three years, and the monthly payment amounts would be determined by the landlord at the then-prevailing rate.</w:t>
      </w:r>
    </w:p>
    <w:p>
      <w:pPr>
        <w:spacing w:after="0" w:line="146" w:lineRule="exact"/>
        <w:rPr>
          <w:sz w:val="20"/>
          <w:szCs w:val="20"/>
          <w:color w:val="auto"/>
        </w:rPr>
      </w:pPr>
    </w:p>
    <w:p>
      <w:pPr>
        <w:ind w:left="640" w:right="759" w:firstLine="351"/>
        <w:spacing w:after="0" w:line="268" w:lineRule="auto"/>
        <w:rPr>
          <w:sz w:val="20"/>
          <w:szCs w:val="20"/>
          <w:color w:val="auto"/>
        </w:rPr>
      </w:pPr>
      <w:r>
        <w:rPr>
          <w:rFonts w:ascii="Times New Roman" w:cs="Times New Roman" w:eastAsia="Times New Roman" w:hAnsi="Times New Roman"/>
          <w:sz w:val="14"/>
          <w:szCs w:val="14"/>
          <w:color w:val="auto"/>
        </w:rPr>
        <w:t>Upon entering into the Headquarters Amendment, the Company remeasured the right-of-use asset and lease liability pertaining to its current headquarters, and as a result recorded an additional $0.1 million to both its right-of-use asset and lease liability on its condensed consolidated balance sheet. As there was not an implicit rate within the lease amendment, a discount rate of 8% was determined using a set of peer companies’ incremental borrowing rates.</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summarizes supplemental lease information (in thousands):</w:t>
      </w:r>
    </w:p>
    <w:p>
      <w:pPr>
        <w:spacing w:after="0" w:line="92"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5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0" w:type="dxa"/>
            <w:vAlign w:val="bottom"/>
            <w:gridSpan w:val="5"/>
          </w:tcPr>
          <w:p>
            <w:pPr>
              <w:ind w:left="16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09"/>
        </w:trPr>
        <w:tc>
          <w:tcPr>
            <w:tcW w:w="5320" w:type="dxa"/>
            <w:vAlign w:val="bottom"/>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56"/>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Borders>
              <w:top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73"/>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r>
      <w:tr>
        <w:trPr>
          <w:trHeight w:val="163"/>
        </w:trPr>
        <w:tc>
          <w:tcPr>
            <w:tcW w:w="5320" w:type="dxa"/>
            <w:vAlign w:val="bottom"/>
            <w:shd w:val="clear" w:color="auto" w:fill="CFF0FC"/>
          </w:tcPr>
          <w:p>
            <w:pPr>
              <w:spacing w:after="0" w:line="163" w:lineRule="exact"/>
              <w:rPr>
                <w:sz w:val="20"/>
                <w:szCs w:val="20"/>
                <w:color w:val="auto"/>
              </w:rPr>
            </w:pPr>
            <w:r>
              <w:rPr>
                <w:rFonts w:ascii="Times New Roman" w:cs="Times New Roman" w:eastAsia="Times New Roman" w:hAnsi="Times New Roman"/>
                <w:sz w:val="14"/>
                <w:szCs w:val="14"/>
                <w:color w:val="auto"/>
              </w:rPr>
              <w:t>Lease expense</w:t>
            </w:r>
            <w:r>
              <w:rPr>
                <w:rFonts w:ascii="Times New Roman" w:cs="Times New Roman" w:eastAsia="Times New Roman" w:hAnsi="Times New Roman"/>
                <w:sz w:val="18"/>
                <w:szCs w:val="18"/>
                <w:color w:val="auto"/>
                <w:vertAlign w:val="superscript"/>
              </w:rPr>
              <w:t>(1)</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FF0FC"/>
          </w:tcPr>
          <w:p>
            <w:pPr>
              <w:spacing w:after="0"/>
              <w:rPr>
                <w:sz w:val="14"/>
                <w:szCs w:val="14"/>
                <w:color w:val="auto"/>
              </w:rPr>
            </w:pPr>
          </w:p>
        </w:tc>
      </w:tr>
      <w:tr>
        <w:trPr>
          <w:trHeight w:val="166"/>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leases</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4"/>
                <w:szCs w:val="14"/>
                <w:color w:val="auto"/>
              </w:rPr>
            </w:pPr>
          </w:p>
        </w:tc>
      </w:tr>
      <w:tr>
        <w:trPr>
          <w:trHeight w:val="188"/>
        </w:trPr>
        <w:tc>
          <w:tcPr>
            <w:tcW w:w="5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______________</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bl>
    <w:p>
      <w:pPr>
        <w:ind w:left="780" w:hanging="142"/>
        <w:spacing w:after="0" w:line="211" w:lineRule="auto"/>
        <w:tabs>
          <w:tab w:leader="none" w:pos="78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Variable lease costs for the three months ended March 31, 2025 and 2024 were immaterial.</w:t>
      </w:r>
    </w:p>
    <w:p>
      <w:pPr>
        <w:spacing w:after="0" w:line="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As of March 31, 2025, future minimum non-cancelable operating lease payments are as follows (in thousands):</w:t>
      </w:r>
    </w:p>
    <w:p>
      <w:pPr>
        <w:spacing w:after="0" w:line="92"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3280" w:type="dxa"/>
            <w:vAlign w:val="bottom"/>
            <w:gridSpan w:val="2"/>
          </w:tcPr>
          <w:p>
            <w:pPr>
              <w:ind w:left="5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5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2025 (remaining nine months)</w:t>
            </w:r>
          </w:p>
        </w:tc>
        <w:tc>
          <w:tcPr>
            <w:tcW w:w="3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2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358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top w:val="single" w:sz="8" w:color="CFF0FC"/>
            </w:tcBorders>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2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imputed interest</w:t>
            </w:r>
          </w:p>
        </w:tc>
        <w:tc>
          <w:tcPr>
            <w:tcW w:w="35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2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Lease liability</w:t>
            </w:r>
          </w:p>
        </w:tc>
        <w:tc>
          <w:tcPr>
            <w:tcW w:w="3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580" w:type="dxa"/>
            <w:vAlign w:val="bottom"/>
            <w:vMerge w:val="restart"/>
          </w:tcPr>
          <w:p>
            <w:pPr>
              <w:jc w:val="right"/>
              <w:ind w:right="2328"/>
              <w:spacing w:after="0"/>
              <w:rPr>
                <w:sz w:val="20"/>
                <w:szCs w:val="20"/>
                <w:color w:val="auto"/>
              </w:rPr>
            </w:pPr>
            <w:r>
              <w:rPr>
                <w:rFonts w:ascii="Times New Roman" w:cs="Times New Roman" w:eastAsia="Times New Roman" w:hAnsi="Times New Roman"/>
                <w:sz w:val="14"/>
                <w:szCs w:val="14"/>
                <w:color w:val="auto"/>
              </w:rPr>
              <w:t>26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-1029335</wp:posOffset>
            </wp:positionV>
            <wp:extent cx="5461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-803910</wp:posOffset>
            </wp:positionV>
            <wp:extent cx="5461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26" w:name="page27"/>
    <w:bookmarkEnd w:id="26"/>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Contingencies</w:t>
      </w:r>
    </w:p>
    <w:p>
      <w:pPr>
        <w:spacing w:after="0" w:line="101" w:lineRule="exact"/>
        <w:rPr>
          <w:sz w:val="20"/>
          <w:szCs w:val="20"/>
          <w:color w:val="auto"/>
        </w:rPr>
      </w:pPr>
    </w:p>
    <w:p>
      <w:pPr>
        <w:ind w:left="640" w:right="839" w:firstLine="351"/>
        <w:spacing w:after="0" w:line="292" w:lineRule="auto"/>
        <w:rPr>
          <w:sz w:val="20"/>
          <w:szCs w:val="20"/>
          <w:color w:val="auto"/>
        </w:rPr>
      </w:pPr>
      <w:r>
        <w:rPr>
          <w:rFonts w:ascii="Times New Roman" w:cs="Times New Roman" w:eastAsia="Times New Roman" w:hAnsi="Times New Roman"/>
          <w:sz w:val="14"/>
          <w:szCs w:val="14"/>
          <w:color w:val="auto"/>
        </w:rPr>
        <w:t>From time to time, the Company may be involved in various legal proceedings and subject to claims that arise in the ordinary course of business.</w:t>
      </w:r>
    </w:p>
    <w:p>
      <w:pPr>
        <w:spacing w:after="0" w:line="124"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On July 24, 2023, Aera A/S, an IP consultancy firm in Denmark representing an unidentified opponent, filed a notice of opposition with the European Patent Office (the “EPO”) in respect of EP 3678649 (the “EP ‘649 Patent”), which is a patent directed to a nasal spray formulation of epinephrine, and uses thereof. The Company filed a response to the notice of opposition on December 15, 2023. The EPO scheduled oral proceedings on October 7, 2025, and the Company will continue to vigorously defend the EP ‘649 Patent. The results of any notice of opposition are inherently unpredictable and uncertain and could result in the EPO finding the patent to be invalid or unenforceable.</w:t>
      </w:r>
    </w:p>
    <w:p>
      <w:pPr>
        <w:spacing w:after="0" w:line="144"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On March 25, 2025, Aptargroup, Inc. and Aptar France SAS (collectively, “Aptar”) filed a suit against ARS Pharmaceuticals, Inc. and ARS Pharmaceuticals Operations, Inc. in the United States District Court for the Southern District of New York. Aptar alleges the Company violated the Defend Trade Secrets Act (18 USC § 1836), misappropriated trade secrets under New York state law, and committed various breaches of contract. The complaint was served to the Company and the response is due on June 12, 2025. The Company intends to vigorously defend itself in this matter.</w:t>
      </w:r>
    </w:p>
    <w:p>
      <w:pPr>
        <w:spacing w:after="0" w:line="142"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Regardless of the outcome, involvement in legal proceedings may have an adverse impact on the Company because of defense and settlement costs, diversion of management resources, and other factors. The Company cannot predict the outcome of these suits, and failure by the Company to obtain favorable resolutions could have a material adverse effect on its business, results of operations, and financial condition. The Company’s chances of success on the merits of these suits are still uncertain and any possible loss or range of loss cannot be reasonably estimated and as such the Company has not recorded a liability as of March 31, 2025.</w:t>
      </w:r>
    </w:p>
    <w:p>
      <w:pPr>
        <w:spacing w:after="0" w:line="142" w:lineRule="exact"/>
        <w:rPr>
          <w:sz w:val="20"/>
          <w:szCs w:val="20"/>
          <w:color w:val="auto"/>
        </w:rPr>
      </w:pPr>
    </w:p>
    <w:p>
      <w:pPr>
        <w:jc w:val="both"/>
        <w:ind w:left="640" w:right="919" w:firstLine="351"/>
        <w:spacing w:after="0" w:line="268" w:lineRule="auto"/>
        <w:rPr>
          <w:sz w:val="20"/>
          <w:szCs w:val="20"/>
          <w:color w:val="auto"/>
        </w:rPr>
      </w:pPr>
      <w:r>
        <w:rPr>
          <w:rFonts w:ascii="Times New Roman" w:cs="Times New Roman" w:eastAsia="Times New Roman" w:hAnsi="Times New Roman"/>
          <w:sz w:val="14"/>
          <w:szCs w:val="14"/>
          <w:color w:val="auto"/>
        </w:rPr>
        <w:t>Except as described above, there is no action, suit, proceeding, inquiry or investigation before or by any court, public board, government agency, self-regulatory organization or other body pending or, to the knowledge of the Company’s executive officers, threatened against or affecting the Company, the Company’s common stock, any of its subsidiaries or its subsidiaries’ officers or directors in their capacities as such, in which an adverse decision could have a material adverse effect.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Unconditional Purchase Obligations and Commitments</w:t>
      </w:r>
    </w:p>
    <w:p>
      <w:pPr>
        <w:spacing w:after="0" w:line="101" w:lineRule="exact"/>
        <w:rPr>
          <w:sz w:val="20"/>
          <w:szCs w:val="20"/>
          <w:color w:val="auto"/>
        </w:rPr>
      </w:pPr>
    </w:p>
    <w:p>
      <w:pPr>
        <w:ind w:left="640" w:right="819" w:firstLine="351"/>
        <w:spacing w:after="0" w:line="268" w:lineRule="auto"/>
        <w:rPr>
          <w:sz w:val="20"/>
          <w:szCs w:val="20"/>
          <w:color w:val="auto"/>
        </w:rPr>
      </w:pPr>
      <w:r>
        <w:rPr>
          <w:rFonts w:ascii="Times New Roman" w:cs="Times New Roman" w:eastAsia="Times New Roman" w:hAnsi="Times New Roman"/>
          <w:sz w:val="14"/>
          <w:szCs w:val="14"/>
          <w:color w:val="auto"/>
        </w:rPr>
        <w:t>Unconditional purchase obligations and commitments are defined as agreements to purchase goods or services that are enforceable and legally binding (non-cancelable, or cancelable only in certain circumstances). In the normal course of business, the Company enters into arrangements with suppliers, manufacturers, and various other companies that supply goods or services. These arrangements can include unconditional purchase obligations and commitments.</w:t>
      </w:r>
    </w:p>
    <w:p>
      <w:pPr>
        <w:spacing w:after="0" w:line="140"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The total amount of unconditional purchase obligations related to the supply of raw materials is $60.6 million as of March 31, 2025. Payment obligations by year are as follows: 2025 ($4.0 million), 2026 ($10.5 million), 2027 ($11.8 million), 2028 ($13.8 million), and $2.9 million per year thereafter through 2035. During the three months ended March 31, 2025, the Company made $4.3 million in payments under this agreement. No payments were made under this agreement during the three months ended March 31, 2024.</w:t>
      </w:r>
    </w:p>
    <w:p>
      <w:pPr>
        <w:spacing w:after="0" w:line="142"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The total amount of unconditional purchase obligations related to hosted software license subscription fees is $3.0 million as of March 31, 2025. Payments by year are as follows: 2025 ($1.1 million), 2026 ($1.5 million), and 2027 ($0.4 million). During the three months ended March 31, 2025, the Company made $0.3 million in payments under this agreement. No payments were made under this agreement during the three months ended March 31, 2024.</w:t>
      </w:r>
    </w:p>
    <w:p>
      <w:pPr>
        <w:spacing w:after="0" w:line="140"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The total amount of commitments related to a corporate sponsorship agreement with Food Allergy Research and Education, Inc. is $5.0 million as of March 31, 2025. Payments by year are as follows: 2025 ($2.0 million) and 2026 ($3.0 million). During the three months ended March 31, 2025, the Company made $2.0 million in payments under this agreement. No payments were made under this agreement during the three months ended March 31, 2024.</w:t>
      </w:r>
    </w:p>
    <w:p>
      <w:pPr>
        <w:spacing w:after="0" w:line="140" w:lineRule="exact"/>
        <w:rPr>
          <w:sz w:val="20"/>
          <w:szCs w:val="20"/>
          <w:color w:val="auto"/>
        </w:rPr>
      </w:pPr>
    </w:p>
    <w:p>
      <w:pPr>
        <w:ind w:left="640" w:right="899" w:firstLine="351"/>
        <w:spacing w:after="0" w:line="274" w:lineRule="auto"/>
        <w:rPr>
          <w:sz w:val="20"/>
          <w:szCs w:val="20"/>
          <w:color w:val="auto"/>
        </w:rPr>
      </w:pPr>
      <w:r>
        <w:rPr>
          <w:rFonts w:ascii="Times New Roman" w:cs="Times New Roman" w:eastAsia="Times New Roman" w:hAnsi="Times New Roman"/>
          <w:sz w:val="14"/>
          <w:szCs w:val="14"/>
          <w:color w:val="auto"/>
        </w:rPr>
        <w:t>The amounts above do not represent the entire anticipated spend in the future but represent only those items for which the Company is contractually obligated. For this reason, these amounts do not provide an indication of the Company’s expected future cash outflows related to purchases and commitments.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4"/>
          <w:szCs w:val="14"/>
          <w:b w:val="1"/>
          <w:bCs w:val="1"/>
          <w:color w:val="auto"/>
        </w:rPr>
        <w:t>10. In-Licensing and Supply</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License Agreement with Aegis</w:t>
      </w:r>
    </w:p>
    <w:p>
      <w:pPr>
        <w:spacing w:after="0" w:line="101"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 xml:space="preserve">In June 2018, the Company entered into a License Agreement (the “Aegis Agreement”) with Aegis Therapeutics, LLC (“Aegis”). Under the Aegis Agreement, the Company licensed the exclusive, worldwide, royalty-bearing, sublicensable, rights to certain proprietary Aegis technology, patent rights and know-how to develop and commercialize epinephrine products. The Company utilizes this technology in its sole commercial product,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As consideration for the license, the Company paid an upfront license fee of $50,000, which was recorded in research and development expenses in the condensed consolidated statement of operations.</w:t>
      </w:r>
    </w:p>
    <w:p>
      <w:pPr>
        <w:spacing w:after="0" w:line="142"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 xml:space="preserve">The Company is required to make aggregate milestone payments of up to $20.0 million upon achievement of certain regulatory and commercial milestones. Regulatory milestone payments under the Aegis Agreement are recorded upon completion of the required events, as the triggering events are not considered to be probable until they are achieved. Prior to the FDA approval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August 2024, regulatory milestone payments were recorded as research and development expenses in the condensed consolidated statement of operations. The Company made a $0.5 million milestone payment to Aegis upon the achievement of a regulatory milestone during 2019, and a $1.0 million milestone payment to Aegis upon the FDA’s acceptance of the Company’s new drug application submission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which occurred in the third quarter of 2022. Since the approval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August 2024</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regulatory milestone payments have been capitalized as intangible assets in the accompanying condensed consolidated balance sheets. Amortization expense has been recorded to cost of goods sold, in the accompanying condensed consolidated statements of operations and comprehensive income (loss), on a straight-line basis over the estimated life of the intellectual property of 14.5 years. In August 2024, a $2.5 million milestone was met for achieving FDA approval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September 2024, a $5.0 million milestone was met for the first commercial sale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As a result, the Company capitalized $7.5 million as intangible assets in the accompanying condensed consolidated balance sheets in the third quarter of 2024. The Company paid the $2.5 million milestone for achieving FDA approval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September 2024 and paid the $5.0 million milestone for the first commercial sale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October 2024. The next milestone payment of $2.0 million is due upon the achievement of certain annual net product sales.</w:t>
      </w:r>
    </w:p>
    <w:p>
      <w:pPr>
        <w:spacing w:after="0" w:line="153" w:lineRule="exact"/>
        <w:rPr>
          <w:sz w:val="20"/>
          <w:szCs w:val="20"/>
          <w:color w:val="auto"/>
        </w:rPr>
      </w:pPr>
    </w:p>
    <w:p>
      <w:pPr>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The Company also pays royalties based on a mid-single-digit percentage of net product sales on its or its sublicensees’ net sales of the Licensed Products (as defined in the Aegis Agreement) on a product-by-product basis. Royalties are recorded to cost of goods sold in the period the related product revenue is recognized.</w:t>
      </w:r>
    </w:p>
    <w:p>
      <w:pPr>
        <w:spacing w:after="0" w:line="136"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 xml:space="preserve">In November 2024, OrbiMed Advisors LLC (“OrbiMed”) entered into an agreement with Aegis, to purchase the rights, royalty interests, and related sales milestone payments on net product sales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The Company will make all future payments under the Aegis Agreement to OrbiMed. As described in </w:t>
      </w:r>
      <w:r>
        <w:rPr>
          <w:rFonts w:ascii="Times New Roman" w:cs="Times New Roman" w:eastAsia="Times New Roman" w:hAnsi="Times New Roman"/>
          <w:sz w:val="14"/>
          <w:szCs w:val="14"/>
          <w:u w:val="single" w:color="auto"/>
          <w:color w:val="0000FF"/>
        </w:rPr>
        <w:t>Note 14 – Related Party Transactions</w:t>
      </w:r>
      <w:r>
        <w:rPr>
          <w:rFonts w:ascii="Times New Roman" w:cs="Times New Roman" w:eastAsia="Times New Roman" w:hAnsi="Times New Roman"/>
          <w:sz w:val="14"/>
          <w:szCs w:val="14"/>
          <w:color w:val="auto"/>
        </w:rPr>
        <w:t>, a member of the Company’s Board of Directors is a General Partner at OrbiMed.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2126615</wp:posOffset>
            </wp:positionH>
            <wp:positionV relativeFrom="paragraph">
              <wp:posOffset>-139700</wp:posOffset>
            </wp:positionV>
            <wp:extent cx="136017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60170" cy="6985"/>
                    </a:xfrm>
                    <a:prstGeom prst="rect">
                      <a:avLst/>
                    </a:prstGeom>
                    <a:noFill/>
                  </pic:spPr>
                </pic:pic>
              </a:graphicData>
            </a:graphic>
          </wp:anchor>
        </w:drawing>
      </w:r>
    </w:p>
    <w:p>
      <w:pPr>
        <w:spacing w:after="0" w:line="120" w:lineRule="exact"/>
        <w:rPr>
          <w:sz w:val="20"/>
          <w:szCs w:val="20"/>
          <w:color w:val="auto"/>
        </w:rPr>
      </w:pPr>
    </w:p>
    <w:p>
      <w:pPr>
        <w:jc w:val="both"/>
        <w:ind w:left="640" w:right="899" w:firstLine="351"/>
        <w:spacing w:after="0" w:line="274" w:lineRule="auto"/>
        <w:rPr>
          <w:sz w:val="20"/>
          <w:szCs w:val="20"/>
          <w:color w:val="auto"/>
        </w:rPr>
      </w:pPr>
      <w:r>
        <w:rPr>
          <w:rFonts w:ascii="Times New Roman" w:cs="Times New Roman" w:eastAsia="Times New Roman" w:hAnsi="Times New Roman"/>
          <w:sz w:val="14"/>
          <w:szCs w:val="14"/>
          <w:color w:val="auto"/>
        </w:rPr>
        <w:t>The Company is responsible for reimbursing Aegis for patent costs incurred in connection with prosecuting and maintaining patent rights that are specific to epinephrine or epinephrine products. No expenses were recognized in connection with legal patent fees for each of the three months ended March 31, 2025 and 2024.</w:t>
      </w:r>
    </w:p>
    <w:p>
      <w:pPr>
        <w:spacing w:after="0" w:line="136" w:lineRule="exact"/>
        <w:rPr>
          <w:sz w:val="20"/>
          <w:szCs w:val="20"/>
          <w:color w:val="auto"/>
        </w:rPr>
      </w:pPr>
    </w:p>
    <w:p>
      <w:pPr>
        <w:ind w:left="640" w:right="979" w:firstLine="351"/>
        <w:spacing w:after="0" w:line="274" w:lineRule="auto"/>
        <w:rPr>
          <w:sz w:val="20"/>
          <w:szCs w:val="20"/>
          <w:color w:val="auto"/>
        </w:rPr>
      </w:pPr>
      <w:r>
        <w:rPr>
          <w:rFonts w:ascii="Times New Roman" w:cs="Times New Roman" w:eastAsia="Times New Roman" w:hAnsi="Times New Roman"/>
          <w:sz w:val="14"/>
          <w:szCs w:val="14"/>
          <w:color w:val="auto"/>
        </w:rPr>
        <w:t>The Company may terminate the Aegis Agreement with 30 days written notice or either party may terminate the Aegis Agreement for certain breaches of the Aegis Agreement. Unless terminated earlier by either or both parties, the term of the Aegis Agreement will continue until the final expiration of all royalty obligations under the Aegis Agreement.</w:t>
      </w:r>
    </w:p>
    <w:p>
      <w:pPr>
        <w:spacing w:after="0" w:line="136"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In conjunction with the Aegis Agreement, the Company also entered into a supply agreement (the “Aegis Supply Agreement”) with Aegis that allows the Company to purchase materials for preclinical, development and commercial use at predetermined prices. The Company may elect to have Aegis supply minimum quantities but there are no minimum or maximum purchase obligations under the Aegis Supply Agreement unless this election is made. The parties may terminate the Aegis Supply Agreement at any time by mutual agreement. In addition, the parties may terminate the Aegis Supply Agreement in the event of certain breaches of the Aegis Supply Agreement or upon the earlier of the expiration or termination of the Aegis Agreement or June 2028. The Aegis Supply Agreement term may be extended by mutual written agreement. Under the Aegis Supply Agreement, no payments were made to Aegis in each of the three months ended March 31, 2025 and 2024.</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28" w:name="page29"/>
    <w:bookmarkEnd w:id="28"/>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Manufacturing Agreement with Renaissance</w:t>
      </w:r>
    </w:p>
    <w:p>
      <w:pPr>
        <w:spacing w:after="0" w:line="101"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 xml:space="preserve">In September 2020, the Company entered into a manufacturing agreement with Renaissance Lakewood, LLC (“Renaissance”), which was subsequently amended in July 2023 and September 2024 (the “Renaissance Agreement”). Pursuant to the Renaissance Agreement, Renaissance agreed to manufacture for, and provide to the Company,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nasal unit dose sprays (“Renaissance Products”). The Company is obligated to provide Renaissance with certain supplies to manufacture the Renaissance Products and to purchase from Renaissance a mid-double-digit percentage of the Company’s annual aggregate Renaissance Product requirements in the EU, and a high double-digit percentage of the Company’s annual aggregate Renaissance Product requirements in the U.S. The Renaissance Agreement contains conventional commercial pharmaceutical manufacturing provisions including certain minimum purchase amounts to be determined in the future based on forecast needs and minimum batch size projections. The Company may also request Renaissance to perform certain services related to the Renaissance Product, for which the Company will pay reasonable compensation to Renaissance.</w:t>
      </w:r>
    </w:p>
    <w:p>
      <w:pPr>
        <w:spacing w:after="0" w:line="320" w:lineRule="exact"/>
        <w:rPr>
          <w:sz w:val="20"/>
          <w:szCs w:val="20"/>
          <w:color w:val="auto"/>
        </w:rPr>
      </w:pPr>
    </w:p>
    <w:p>
      <w:pPr>
        <w:ind w:left="640" w:right="679" w:firstLine="351"/>
        <w:spacing w:after="0" w:line="257" w:lineRule="auto"/>
        <w:rPr>
          <w:sz w:val="20"/>
          <w:szCs w:val="20"/>
          <w:color w:val="auto"/>
        </w:rPr>
      </w:pPr>
      <w:r>
        <w:rPr>
          <w:rFonts w:ascii="Times New Roman" w:cs="Times New Roman" w:eastAsia="Times New Roman" w:hAnsi="Times New Roman"/>
          <w:sz w:val="14"/>
          <w:szCs w:val="14"/>
          <w:color w:val="auto"/>
        </w:rPr>
        <w:t>Pursuant to the amendment in September 2024, the amended initial term of the Renaissance Agreement commenced on September 17, 2024, and will terminate (a) for Renaissance Product designated for commercial sale in the U.S., on December 31 immediately following the fifth anniversary of the initial U.S. launch date (“U.S. Initial Term”), and (b) for Renaissance Product designated for commercial sale in the EU, on December 31 immediately following the fifth anniversary of the initial EU launch date (“EU Initial Term”), in each case unless earlier terminated by one of the parties. The U.S. Initial Term and EU Initial Term automatically renew for successive two-year terms (“Renewal Term”). Either party may elect not to renew the U.S. Renewal Term and/or the EU Renewal Term by providing the requisite prior notice to the other party, with the initial terms automatically renewing for successive two-year terms, unless either party gives notice pursuant to the Renaissance Agreement. Either party may terminate the Renaissance Agreement (1) for uncured material breach of the other party, (2) upon notice for insolvency-related events of the other party that are not discharged within a defined time period, (3) on a product-by-product basis if the manufacture, distribution or sale would materially contravene any applicable law, (4) by providing the requisite notice if (a) the authorization and approval to distribute or sell Renaissance Product in the U.S. is not granted on or before a specified date, (b) the authorization and approval representing more than a certain number of units of Renaissance Product sold in the U.S. during the last calendar year is withdrawn by the FDA, or</w:t>
      </w:r>
    </w:p>
    <w:p>
      <w:pPr>
        <w:spacing w:after="0" w:line="6" w:lineRule="exact"/>
        <w:rPr>
          <w:sz w:val="20"/>
          <w:szCs w:val="20"/>
          <w:color w:val="auto"/>
        </w:rPr>
      </w:pPr>
    </w:p>
    <w:p>
      <w:pPr>
        <w:ind w:left="640" w:right="719" w:hanging="2"/>
        <w:spacing w:after="0" w:line="272" w:lineRule="auto"/>
        <w:tabs>
          <w:tab w:leader="none" w:pos="83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decided in its sole discretion to cease commercializing the Renaissance Product in the U.S., (5) in the case of a force majeure event that continues for six months or more, or (6) a violation by the other party of trade control or anti-corruption laws.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Supply Agreement with Ompi</w:t>
      </w:r>
    </w:p>
    <w:p>
      <w:pPr>
        <w:spacing w:after="0" w:line="101"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 xml:space="preserve">In October 2024, the Company entered into a supply agreement (the “Ompi Supply Agreement”) with Nuova Ompi S.r.l. (“Ompi”), pursuant to which Ompi has agreed to supply glass microvials to support the Company’s manufacture and commercialization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Under the Ompi Supply Agreement, the Company has committed to purchase, and Ompi has committed to supply, specified annual minimum quantities of glass microvials, which may be increased with prior notice by the Company or through the rolling forecast process, subject to a specified annual cap. Ompi is obligated to establish the relevant manufacturing force, assets and capabilities needed to comply with its supply obligations.</w:t>
      </w:r>
    </w:p>
    <w:p>
      <w:pPr>
        <w:spacing w:after="0" w:line="144" w:lineRule="exact"/>
        <w:rPr>
          <w:sz w:val="20"/>
          <w:szCs w:val="20"/>
          <w:color w:val="auto"/>
        </w:rPr>
      </w:pPr>
    </w:p>
    <w:p>
      <w:pPr>
        <w:ind w:left="640" w:right="759" w:firstLine="351"/>
        <w:spacing w:after="0" w:line="268" w:lineRule="auto"/>
        <w:rPr>
          <w:sz w:val="20"/>
          <w:szCs w:val="20"/>
          <w:color w:val="auto"/>
        </w:rPr>
      </w:pPr>
      <w:r>
        <w:rPr>
          <w:rFonts w:ascii="Times New Roman" w:cs="Times New Roman" w:eastAsia="Times New Roman" w:hAnsi="Times New Roman"/>
          <w:sz w:val="14"/>
          <w:szCs w:val="14"/>
          <w:color w:val="auto"/>
        </w:rPr>
        <w:t>In December 2024, as partial consideration for the supply arrangement, the Company made an upfront payment of €3.0 million (approximately $3.2 million in U.S. dollars) to Ompi. The supply price for the glass microvials is specified in the Ompi Supply Agreement, subject to an annual adjustment that is capped at a specified percentage except in the case of material and extraordinary increase in Ompi’s cost of manufacturing the glass microvials.</w:t>
      </w:r>
    </w:p>
    <w:p>
      <w:pPr>
        <w:spacing w:after="0" w:line="140"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The Ompi Supply Agreement will expire on December 31, 2035, and may be terminated (i) upon the parties’ mutual written consent, (ii) by the Company for any reasonable business reasons (in which case the termination will become effective at the end of the following calendar year), or (iii) by the non-breaching party if the other party is in material breach of the Ompi Supply Agreement and fails to cure such breach within 90 days after receipt of notice thereof from the non-breaching party.</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11. Common Stock and Stockholders’ Equity</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Authorized Shares</w:t>
      </w:r>
    </w:p>
    <w:p>
      <w:pPr>
        <w:spacing w:after="0" w:line="101" w:lineRule="exact"/>
        <w:rPr>
          <w:sz w:val="20"/>
          <w:szCs w:val="20"/>
          <w:color w:val="auto"/>
        </w:rPr>
      </w:pPr>
    </w:p>
    <w:p>
      <w:pPr>
        <w:ind w:left="640" w:right="859" w:firstLine="351"/>
        <w:spacing w:after="0" w:line="292" w:lineRule="auto"/>
        <w:rPr>
          <w:sz w:val="20"/>
          <w:szCs w:val="20"/>
          <w:color w:val="auto"/>
        </w:rPr>
      </w:pPr>
      <w:r>
        <w:rPr>
          <w:rFonts w:ascii="Times New Roman" w:cs="Times New Roman" w:eastAsia="Times New Roman" w:hAnsi="Times New Roman"/>
          <w:sz w:val="14"/>
          <w:szCs w:val="14"/>
          <w:color w:val="auto"/>
        </w:rPr>
        <w:t>The Company’s current Amended and Restated Certificate of Incorporation authorizes 200,000,000 shares of common stock, par value $0.0001 per share, and 10,000,000 shares of preferred stock, par value $0.0001 per share.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29" w:name="page30"/>
    <w:bookmarkEnd w:id="29"/>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Common Stock Reserved for Future Issuance</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Common stock reserved for future issuance consisted of the following:</w:t>
      </w:r>
    </w:p>
    <w:p>
      <w:pPr>
        <w:spacing w:after="0" w:line="92"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160" w:type="dxa"/>
            <w:vAlign w:val="bottom"/>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0" w:type="dxa"/>
            <w:vAlign w:val="bottom"/>
          </w:tcPr>
          <w:p>
            <w:pPr>
              <w:spacing w:after="0"/>
              <w:rPr>
                <w:sz w:val="11"/>
                <w:szCs w:val="11"/>
                <w:color w:val="auto"/>
              </w:rPr>
            </w:pPr>
          </w:p>
        </w:tc>
      </w:tr>
      <w:tr>
        <w:trPr>
          <w:trHeight w:val="163"/>
        </w:trPr>
        <w:tc>
          <w:tcPr>
            <w:tcW w:w="20" w:type="dxa"/>
            <w:vAlign w:val="bottom"/>
          </w:tcPr>
          <w:p>
            <w:pPr>
              <w:spacing w:after="0"/>
              <w:rPr>
                <w:sz w:val="14"/>
                <w:szCs w:val="14"/>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Common stock options granted and outstanding</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17,348,839</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15,161,180</w:t>
            </w: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units granted and outstanding</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2,763</w:t>
            </w: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Common stock reserved for future awards or option grants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8,441,571</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5,905,773</w:t>
            </w: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reserved for future employee stock purchase plan issuances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2,923,100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2,223,100</w:t>
            </w: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 to purchase common stock</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45,456</w:t>
            </w:r>
          </w:p>
        </w:tc>
        <w:tc>
          <w:tcPr>
            <w:tcW w:w="16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45,456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28,760,348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23,338,272</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4551045</wp:posOffset>
            </wp:positionH>
            <wp:positionV relativeFrom="paragraph">
              <wp:posOffset>-135890</wp:posOffset>
            </wp:positionV>
            <wp:extent cx="4762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-135890</wp:posOffset>
            </wp:positionV>
            <wp:extent cx="5461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Equity Offerings</w:t>
      </w:r>
    </w:p>
    <w:p>
      <w:pPr>
        <w:spacing w:after="0" w:line="101" w:lineRule="exact"/>
        <w:rPr>
          <w:sz w:val="20"/>
          <w:szCs w:val="20"/>
          <w:color w:val="auto"/>
        </w:rPr>
      </w:pPr>
    </w:p>
    <w:p>
      <w:pPr>
        <w:ind w:left="640" w:right="779" w:firstLine="351"/>
        <w:spacing w:after="0" w:line="252" w:lineRule="auto"/>
        <w:rPr>
          <w:sz w:val="20"/>
          <w:szCs w:val="20"/>
          <w:color w:val="auto"/>
        </w:rPr>
      </w:pPr>
      <w:r>
        <w:rPr>
          <w:rFonts w:ascii="Times New Roman" w:cs="Times New Roman" w:eastAsia="Times New Roman" w:hAnsi="Times New Roman"/>
          <w:sz w:val="14"/>
          <w:szCs w:val="14"/>
          <w:color w:val="auto"/>
        </w:rPr>
        <w:t>In January 2025, the Company filed an automatic shelf registration statement on Form S-3ASR with the Securities and Exchange Commission which became effective upon filing (the “Shelf Registration Statement”). The Shelf Registration Statement allows the Company, from time to time, to offer and sell any combination of shares of the Company’s common stock and preferred stock, various series of debt securities, and/or warrants to purchase any of such securities, either individually or in combination with other securities, in one or more offerings. The Company simultaneously entered into a Controlled Equity Offering</w:t>
      </w:r>
      <w:r>
        <w:rPr>
          <w:rFonts w:ascii="Times New Roman" w:cs="Times New Roman" w:eastAsia="Times New Roman" w:hAnsi="Times New Roman"/>
          <w:sz w:val="19"/>
          <w:szCs w:val="19"/>
          <w:color w:val="auto"/>
          <w:vertAlign w:val="superscript"/>
        </w:rPr>
        <w:t>SM</w:t>
      </w:r>
      <w:r>
        <w:rPr>
          <w:rFonts w:ascii="Times New Roman" w:cs="Times New Roman" w:eastAsia="Times New Roman" w:hAnsi="Times New Roman"/>
          <w:sz w:val="14"/>
          <w:szCs w:val="14"/>
          <w:color w:val="auto"/>
        </w:rPr>
        <w:t xml:space="preserve"> sales agreement (the “Equity Sales Agreement”) with Cantor Fitzgerald &amp; Co. (“Cantor”) to allow the Company to offer, sell and issue shares of the Company’s common stock from time to time through Cantor acting as sales agent and up to a maximum aggregate offering price of $200.0 million. As of March 31, 2025, no securities have been sold pursuant to the Shelf Registration Statement or Equity Sales Agreement.</w:t>
      </w:r>
    </w:p>
    <w:p>
      <w:pPr>
        <w:spacing w:after="0" w:line="200" w:lineRule="exact"/>
        <w:rPr>
          <w:sz w:val="20"/>
          <w:szCs w:val="20"/>
          <w:color w:val="auto"/>
        </w:rPr>
      </w:pP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12. Stock-Based Compensation</w:t>
      </w:r>
    </w:p>
    <w:p>
      <w:pPr>
        <w:spacing w:after="0" w:line="99" w:lineRule="exact"/>
        <w:rPr>
          <w:sz w:val="20"/>
          <w:szCs w:val="20"/>
          <w:color w:val="auto"/>
        </w:rPr>
      </w:pPr>
    </w:p>
    <w:p>
      <w:pPr>
        <w:ind w:left="640" w:right="679" w:firstLine="351"/>
        <w:spacing w:after="0" w:line="292" w:lineRule="auto"/>
        <w:rPr>
          <w:sz w:val="20"/>
          <w:szCs w:val="20"/>
          <w:color w:val="auto"/>
        </w:rPr>
      </w:pPr>
      <w:r>
        <w:rPr>
          <w:rFonts w:ascii="Times New Roman" w:cs="Times New Roman" w:eastAsia="Times New Roman" w:hAnsi="Times New Roman"/>
          <w:sz w:val="14"/>
          <w:szCs w:val="14"/>
          <w:color w:val="auto"/>
        </w:rPr>
        <w:t>Stock-based compensation expense recognized for all equity awards has been reported in the condensed consolidated statements of operations and comprehensive loss as follows (in thousands):</w:t>
      </w:r>
    </w:p>
    <w:p>
      <w:pPr>
        <w:spacing w:after="0" w:line="33"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5320" w:type="dxa"/>
            <w:vAlign w:val="bottom"/>
          </w:tcPr>
          <w:p>
            <w:pPr>
              <w:spacing w:after="0"/>
              <w:rPr>
                <w:sz w:val="11"/>
                <w:szCs w:val="11"/>
                <w:color w:val="auto"/>
              </w:rPr>
            </w:pPr>
          </w:p>
        </w:tc>
        <w:tc>
          <w:tcPr>
            <w:tcW w:w="1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5320" w:type="dxa"/>
            <w:vAlign w:val="bottom"/>
          </w:tcPr>
          <w:p>
            <w:pPr>
              <w:spacing w:after="0"/>
              <w:rPr>
                <w:sz w:val="9"/>
                <w:szCs w:val="9"/>
                <w:color w:val="auto"/>
              </w:rPr>
            </w:pPr>
          </w:p>
        </w:tc>
        <w:tc>
          <w:tcPr>
            <w:tcW w:w="68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auto"/>
            </w:tcBorders>
          </w:tcPr>
          <w:p>
            <w:pPr>
              <w:jc w:val="right"/>
              <w:ind w:right="16"/>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6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and development expense</w:t>
            </w:r>
          </w:p>
        </w:tc>
        <w:tc>
          <w:tcPr>
            <w:tcW w:w="680" w:type="dxa"/>
            <w:vAlign w:val="bottom"/>
            <w:shd w:val="clear" w:color="auto" w:fill="CFF0FC"/>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920" w:type="dxa"/>
            <w:vAlign w:val="bottom"/>
            <w:gridSpan w:val="2"/>
            <w:shd w:val="clear" w:color="auto" w:fill="CFF0FC"/>
          </w:tcPr>
          <w:p>
            <w:pPr>
              <w:jc w:val="right"/>
              <w:ind w:right="576"/>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4,635</w:t>
            </w:r>
          </w:p>
        </w:tc>
        <w:tc>
          <w:tcPr>
            <w:tcW w:w="2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80" w:type="dxa"/>
            <w:vAlign w:val="bottom"/>
          </w:tcPr>
          <w:p>
            <w:pPr>
              <w:spacing w:after="0"/>
              <w:rPr>
                <w:sz w:val="14"/>
                <w:szCs w:val="14"/>
                <w:color w:val="auto"/>
              </w:rPr>
            </w:pPr>
          </w:p>
        </w:tc>
      </w:tr>
      <w:tr>
        <w:trPr>
          <w:trHeight w:val="203"/>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680" w:type="dxa"/>
            <w:vAlign w:val="bottom"/>
            <w:tcBorders>
              <w:bottom w:val="single" w:sz="8" w:color="auto"/>
            </w:tcBorders>
            <w:shd w:val="clear" w:color="auto" w:fill="CFF0FC"/>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5,298</w:t>
            </w:r>
          </w:p>
        </w:tc>
        <w:tc>
          <w:tcPr>
            <w:tcW w:w="20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576"/>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3,315</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4762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-6350</wp:posOffset>
            </wp:positionV>
            <wp:extent cx="4762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both"/>
        <w:ind w:left="640" w:right="719" w:firstLine="351"/>
        <w:spacing w:after="0" w:line="292" w:lineRule="auto"/>
        <w:rPr>
          <w:sz w:val="20"/>
          <w:szCs w:val="20"/>
          <w:color w:val="auto"/>
        </w:rPr>
      </w:pPr>
      <w:r>
        <w:rPr>
          <w:rFonts w:ascii="Times New Roman" w:cs="Times New Roman" w:eastAsia="Times New Roman" w:hAnsi="Times New Roman"/>
          <w:sz w:val="14"/>
          <w:szCs w:val="14"/>
          <w:color w:val="auto"/>
        </w:rPr>
        <w:t>During the three months ended March 31, 2025, $0.2 million of stock compensation expense was capitalized into inventory. No stock-based compensation expense was capitalized into inventory during the three months ended March 31, 2024.</w:t>
      </w:r>
    </w:p>
    <w:p>
      <w:pPr>
        <w:spacing w:after="0" w:line="124" w:lineRule="exact"/>
        <w:rPr>
          <w:sz w:val="20"/>
          <w:szCs w:val="20"/>
          <w:color w:val="auto"/>
        </w:rPr>
      </w:pPr>
    </w:p>
    <w:p>
      <w:pPr>
        <w:ind w:left="640" w:right="799" w:firstLine="351"/>
        <w:spacing w:after="0" w:line="292" w:lineRule="auto"/>
        <w:rPr>
          <w:sz w:val="20"/>
          <w:szCs w:val="20"/>
          <w:color w:val="auto"/>
        </w:rPr>
      </w:pPr>
      <w:r>
        <w:rPr>
          <w:rFonts w:ascii="Times New Roman" w:cs="Times New Roman" w:eastAsia="Times New Roman" w:hAnsi="Times New Roman"/>
          <w:sz w:val="14"/>
          <w:szCs w:val="14"/>
          <w:color w:val="auto"/>
        </w:rPr>
        <w:t>As of March 31, 2025, the total unrecognized stock-based compensation expense related to outstanding employee options was $54.5 million, which is expected to be recognized over a remaining weighted-average period of approximately 2.7 years.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As of March 31, 2025 and December 31, 2024, there were 1,382 and 2,763 restricted stock units outstanding, respectively.</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Equity Incentive Plans</w:t>
      </w:r>
    </w:p>
    <w:p>
      <w:pPr>
        <w:spacing w:after="0" w:line="101" w:lineRule="exact"/>
        <w:rPr>
          <w:sz w:val="20"/>
          <w:szCs w:val="20"/>
          <w:color w:val="auto"/>
        </w:rPr>
      </w:pPr>
    </w:p>
    <w:p>
      <w:pPr>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In September 2018, ARS Pharma adopted the 2018 Equity Incentive Plan. As a result of the Merger, on November 8, 2022 ARS Pharma assumed Silverback’s 2016 and 2020 Equity Incentive Plans, and Employee Stock Purchase Plan (“ESPP”). There were no shares of common stock purchased under the ESPP during each of the three months ended March 31, 2025 and 2024.</w:t>
      </w:r>
    </w:p>
    <w:p>
      <w:pPr>
        <w:spacing w:after="0" w:line="136" w:lineRule="exact"/>
        <w:rPr>
          <w:sz w:val="20"/>
          <w:szCs w:val="20"/>
          <w:color w:val="auto"/>
        </w:rPr>
      </w:pPr>
    </w:p>
    <w:p>
      <w:pPr>
        <w:ind w:left="640" w:right="739" w:firstLine="351"/>
        <w:spacing w:after="0" w:line="265" w:lineRule="auto"/>
        <w:rPr>
          <w:sz w:val="20"/>
          <w:szCs w:val="20"/>
          <w:color w:val="auto"/>
        </w:rPr>
      </w:pPr>
      <w:r>
        <w:rPr>
          <w:rFonts w:ascii="Times New Roman" w:cs="Times New Roman" w:eastAsia="Times New Roman" w:hAnsi="Times New Roman"/>
          <w:sz w:val="14"/>
          <w:szCs w:val="14"/>
          <w:color w:val="auto"/>
        </w:rPr>
        <w:t>As of March 31, 2025, 25,737,116 shares were authorized under the 2016 and 2020 Equity Incentive Plans, of which 8,144,226 shares were available for future grant, and 12,920,603 shares were outstanding. As of March 31, 2025, 6,634,333 shares were authorized under the 2018 Equity Incentive Plan, of which 297,345 shares were available for future grant, and 4,429,618 shares were outstanding. The Company does not intend to grant future stock options or other equity awards under the 2016 or 2018 Equity Incentive Plans.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30" w:name="page31"/>
    <w:bookmarkEnd w:id="30"/>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101"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Stock options granted under the Company’s equity incentive plans expire no later than 10 years from the date of grant and generally vest over a four-year period, with vesting either occurring at a rate of 25% at the end of the first year and thereafter in 36 equal monthly installments or on a monthly basis. In the case of awards granted to the Company’s non-employee board members, vesting generally occurs on a monthly basis over three years or in full on an annual basis. The Company issues new shares of common stock upon the exercise of stock options.</w:t>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 summary of the Company’s stock option activity for the three months ended March 31, 2025 is as follows:</w:t>
      </w:r>
    </w:p>
    <w:p>
      <w:pPr>
        <w:spacing w:after="0" w:line="84"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6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92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Subject 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34"/>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6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92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Options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34"/>
              <w:spacing w:after="0" w:line="119"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6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Price</w:t>
            </w:r>
          </w:p>
        </w:tc>
        <w:tc>
          <w:tcPr>
            <w:tcW w:w="160" w:type="dxa"/>
            <w:vAlign w:val="bottom"/>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Life (Years)</w:t>
            </w:r>
          </w:p>
        </w:tc>
        <w:tc>
          <w:tcPr>
            <w:tcW w:w="160" w:type="dxa"/>
            <w:vAlign w:val="bottom"/>
          </w:tcPr>
          <w:p>
            <w:pPr>
              <w:spacing w:after="0"/>
              <w:rPr>
                <w:sz w:val="11"/>
                <w:szCs w:val="11"/>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15,161,180</w:t>
            </w:r>
          </w:p>
        </w:tc>
        <w:tc>
          <w:tcPr>
            <w:tcW w:w="120" w:type="dxa"/>
            <w:vAlign w:val="bottom"/>
            <w:shd w:val="clear" w:color="auto" w:fill="CFF0FC"/>
          </w:tcPr>
          <w:p>
            <w:pPr>
              <w:spacing w:after="0"/>
              <w:rPr>
                <w:sz w:val="14"/>
                <w:szCs w:val="14"/>
                <w:color w:val="auto"/>
              </w:rPr>
            </w:pP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2,643,850</w:t>
            </w:r>
          </w:p>
        </w:tc>
        <w:tc>
          <w:tcPr>
            <w:tcW w:w="12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Exercised</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(174,251)</w:t>
            </w: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Forfeited</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(281,940)</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at March 31, 2025</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17,348,839</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101,067</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Exercisable at March 31, 2025</w:t>
            </w:r>
          </w:p>
        </w:tc>
        <w:tc>
          <w:tcPr>
            <w:tcW w:w="80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9,050,857</w:t>
            </w:r>
          </w:p>
        </w:tc>
        <w:tc>
          <w:tcPr>
            <w:tcW w:w="120" w:type="dxa"/>
            <w:vAlign w:val="bottom"/>
          </w:tcPr>
          <w:p>
            <w:pPr>
              <w:spacing w:after="0"/>
              <w:rPr>
                <w:sz w:val="12"/>
                <w:szCs w:val="12"/>
                <w:color w:val="auto"/>
              </w:rPr>
            </w:pPr>
          </w:p>
        </w:tc>
        <w:tc>
          <w:tcPr>
            <w:tcW w:w="140" w:type="dxa"/>
            <w:vAlign w:val="bottom"/>
            <w:gridSpan w:val="2"/>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5.40</w:t>
            </w:r>
          </w:p>
        </w:tc>
        <w:tc>
          <w:tcPr>
            <w:tcW w:w="9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6.9</w:t>
            </w:r>
          </w:p>
        </w:tc>
        <w:tc>
          <w:tcPr>
            <w:tcW w:w="2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71,409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-149225</wp:posOffset>
            </wp:positionV>
            <wp:extent cx="4762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-135890</wp:posOffset>
            </wp:positionV>
            <wp:extent cx="4762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739" w:firstLine="351"/>
        <w:spacing w:after="0" w:line="265" w:lineRule="auto"/>
        <w:rPr>
          <w:sz w:val="20"/>
          <w:szCs w:val="20"/>
          <w:color w:val="auto"/>
        </w:rPr>
      </w:pPr>
      <w:r>
        <w:rPr>
          <w:rFonts w:ascii="Times New Roman" w:cs="Times New Roman" w:eastAsia="Times New Roman" w:hAnsi="Times New Roman"/>
          <w:sz w:val="14"/>
          <w:szCs w:val="14"/>
          <w:color w:val="auto"/>
        </w:rPr>
        <w:t>The exercisable shares subject to options outstanding at March 31, 2025 in the table above include vested and early exercisable awards. The aggregate intrinsic value in the table above is calculated as the difference between the exercise price of the underlying options and the estimated fair value of the Company’s common stock for all options that were in-the-money at March 31, 2025. The aggregate intrinsic value of options exercised during the three months ended March 31, 2025 and 2024 was $1.3 million and $1.0 million, respectively.</w:t>
      </w:r>
    </w:p>
    <w:p>
      <w:pPr>
        <w:spacing w:after="0" w:line="142" w:lineRule="exact"/>
        <w:rPr>
          <w:sz w:val="20"/>
          <w:szCs w:val="20"/>
          <w:color w:val="auto"/>
        </w:rPr>
      </w:pPr>
    </w:p>
    <w:p>
      <w:pPr>
        <w:jc w:val="both"/>
        <w:ind w:left="640" w:right="739" w:firstLine="351"/>
        <w:spacing w:after="0" w:line="274" w:lineRule="auto"/>
        <w:rPr>
          <w:sz w:val="20"/>
          <w:szCs w:val="20"/>
          <w:color w:val="auto"/>
        </w:rPr>
      </w:pPr>
      <w:r>
        <w:rPr>
          <w:rFonts w:ascii="Times New Roman" w:cs="Times New Roman" w:eastAsia="Times New Roman" w:hAnsi="Times New Roman"/>
          <w:sz w:val="14"/>
          <w:szCs w:val="14"/>
          <w:color w:val="auto"/>
        </w:rPr>
        <w:t>The weighted-average grant date fair value per share of option grants for the three months ended March 31, 2025 and 2024 was $8.06 and $4.36, respectively. The total fair value of shares vested during the three months ended March 31, 2025 and 2024 was $6.2 million and $6.0 million, respectively.</w:t>
      </w:r>
    </w:p>
    <w:p>
      <w:pPr>
        <w:spacing w:after="0" w:line="136" w:lineRule="exact"/>
        <w:rPr>
          <w:sz w:val="20"/>
          <w:szCs w:val="20"/>
          <w:color w:val="auto"/>
        </w:rPr>
      </w:pPr>
    </w:p>
    <w:p>
      <w:pPr>
        <w:ind w:left="640" w:right="819" w:firstLine="351"/>
        <w:spacing w:after="0" w:line="292" w:lineRule="auto"/>
        <w:rPr>
          <w:sz w:val="20"/>
          <w:szCs w:val="20"/>
          <w:color w:val="auto"/>
        </w:rPr>
      </w:pPr>
      <w:r>
        <w:rPr>
          <w:rFonts w:ascii="Times New Roman" w:cs="Times New Roman" w:eastAsia="Times New Roman" w:hAnsi="Times New Roman"/>
          <w:sz w:val="14"/>
          <w:szCs w:val="14"/>
          <w:color w:val="auto"/>
        </w:rPr>
        <w:t>The fair value of stock options granted was estimated using a Black-Scholes option-pricing model (“Black-Scholes”) with the following weighted-average assumptions:</w:t>
      </w:r>
    </w:p>
    <w:p>
      <w:pPr>
        <w:spacing w:after="0" w:line="3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p>
      <w:pPr>
        <w:spacing w:after="0" w:line="11" w:lineRule="exact"/>
        <w:rPr>
          <w:sz w:val="20"/>
          <w:szCs w:val="20"/>
          <w:color w:val="auto"/>
        </w:rPr>
      </w:pPr>
    </w:p>
    <w:tbl>
      <w:tblPr>
        <w:tblLayout w:type="fixed"/>
        <w:tblInd w:w="640" w:type="dxa"/>
        <w:tblCellMar>
          <w:top w:w="0" w:type="dxa"/>
          <w:left w:w="0" w:type="dxa"/>
          <w:bottom w:w="0" w:type="dxa"/>
          <w:right w:w="0" w:type="dxa"/>
        </w:tblCellMar>
      </w:tblPr>
      <w:tr>
        <w:trPr>
          <w:trHeight w:val="109"/>
        </w:trPr>
        <w:tc>
          <w:tcPr>
            <w:tcW w:w="5180" w:type="dxa"/>
            <w:vAlign w:val="bottom"/>
          </w:tcPr>
          <w:p>
            <w:pPr>
              <w:spacing w:after="0"/>
              <w:rPr>
                <w:sz w:val="9"/>
                <w:szCs w:val="9"/>
                <w:color w:val="auto"/>
              </w:rPr>
            </w:pPr>
          </w:p>
        </w:tc>
        <w:tc>
          <w:tcPr>
            <w:tcW w:w="740" w:type="dxa"/>
            <w:vAlign w:val="bottom"/>
            <w:tcBorders>
              <w:top w:val="single" w:sz="8" w:color="auto"/>
              <w:bottom w:val="single" w:sz="8" w:color="auto"/>
            </w:tcBorders>
          </w:tcPr>
          <w:p>
            <w:pPr>
              <w:jc w:val="right"/>
              <w:ind w:right="2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top w:val="single" w:sz="8" w:color="auto"/>
              <w:bottom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100" w:type="dxa"/>
            <w:vAlign w:val="bottom"/>
            <w:tcBorders>
              <w:top w:val="single" w:sz="8" w:color="auto"/>
              <w:bottom w:val="single" w:sz="8" w:color="auto"/>
            </w:tcBorders>
          </w:tcPr>
          <w:p>
            <w:pPr>
              <w:jc w:val="right"/>
              <w:ind w:right="37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9"/>
                <w:szCs w:val="9"/>
                <w:color w:val="auto"/>
              </w:rPr>
            </w:pPr>
          </w:p>
        </w:tc>
      </w:tr>
      <w:tr>
        <w:trPr>
          <w:trHeight w:val="163"/>
        </w:trPr>
        <w:tc>
          <w:tcPr>
            <w:tcW w:w="5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shd w:val="clear" w:color="auto" w:fill="CFF0FC"/>
          </w:tcPr>
          <w:p>
            <w:pPr>
              <w:spacing w:after="0"/>
              <w:rPr>
                <w:sz w:val="14"/>
                <w:szCs w:val="14"/>
                <w:color w:val="auto"/>
              </w:rPr>
            </w:pPr>
          </w:p>
        </w:tc>
      </w:tr>
      <w:tr>
        <w:trPr>
          <w:trHeight w:val="172"/>
        </w:trPr>
        <w:tc>
          <w:tcPr>
            <w:tcW w:w="5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87.1%</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94.2%</w:t>
            </w:r>
          </w:p>
        </w:tc>
      </w:tr>
      <w:tr>
        <w:trPr>
          <w:trHeight w:val="172"/>
        </w:trPr>
        <w:tc>
          <w:tcPr>
            <w:tcW w:w="5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4.4%</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3.9%</w:t>
            </w:r>
          </w:p>
        </w:tc>
      </w:tr>
      <w:tr>
        <w:trPr>
          <w:trHeight w:val="186"/>
        </w:trPr>
        <w:tc>
          <w:tcPr>
            <w:tcW w:w="5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bl>
    <w:p>
      <w:pPr>
        <w:spacing w:after="0" w:line="143" w:lineRule="exact"/>
        <w:rPr>
          <w:sz w:val="20"/>
          <w:szCs w:val="20"/>
          <w:color w:val="auto"/>
        </w:rPr>
      </w:pPr>
    </w:p>
    <w:p>
      <w:pPr>
        <w:ind w:left="640" w:right="779" w:firstLine="387"/>
        <w:spacing w:after="0" w:line="292" w:lineRule="auto"/>
        <w:rPr>
          <w:sz w:val="20"/>
          <w:szCs w:val="20"/>
          <w:color w:val="auto"/>
        </w:rPr>
      </w:pPr>
      <w:r>
        <w:rPr>
          <w:rFonts w:ascii="Times New Roman" w:cs="Times New Roman" w:eastAsia="Times New Roman" w:hAnsi="Times New Roman"/>
          <w:sz w:val="14"/>
          <w:szCs w:val="14"/>
          <w:color w:val="auto"/>
        </w:rPr>
        <w:t>The fair value of stock options was determined using the Black-Scholes assumptions below. Each of these inputs is subjective and generally requires significant judgment.</w:t>
      </w:r>
    </w:p>
    <w:p>
      <w:pPr>
        <w:spacing w:after="0" w:line="122" w:lineRule="exact"/>
        <w:rPr>
          <w:sz w:val="20"/>
          <w:szCs w:val="20"/>
          <w:color w:val="auto"/>
        </w:rPr>
      </w:pPr>
    </w:p>
    <w:p>
      <w:pPr>
        <w:ind w:left="640" w:right="679" w:firstLine="351"/>
        <w:spacing w:after="0" w:line="295" w:lineRule="auto"/>
        <w:rPr>
          <w:sz w:val="20"/>
          <w:szCs w:val="20"/>
          <w:color w:val="auto"/>
        </w:rPr>
      </w:pPr>
      <w:r>
        <w:rPr>
          <w:rFonts w:ascii="Times New Roman" w:cs="Times New Roman" w:eastAsia="Times New Roman" w:hAnsi="Times New Roman"/>
          <w:sz w:val="14"/>
          <w:szCs w:val="14"/>
          <w:i w:val="1"/>
          <w:iCs w:val="1"/>
          <w:color w:val="auto"/>
        </w:rPr>
        <w:t>Fair Value of Common Stock</w:t>
      </w:r>
      <w:r>
        <w:rPr>
          <w:rFonts w:ascii="Times New Roman" w:cs="Times New Roman" w:eastAsia="Times New Roman" w:hAnsi="Times New Roman"/>
          <w:sz w:val="14"/>
          <w:szCs w:val="14"/>
          <w:color w:val="auto"/>
        </w:rPr>
        <w:t>. The fair market value of the Company's common stock is based on its closing price as reported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date of grant on the primary stock exchange on which the Company’s common stock is traded.</w:t>
      </w:r>
    </w:p>
    <w:p>
      <w:pPr>
        <w:spacing w:after="0" w:line="120" w:lineRule="exact"/>
        <w:rPr>
          <w:sz w:val="20"/>
          <w:szCs w:val="20"/>
          <w:color w:val="auto"/>
        </w:rPr>
      </w:pPr>
    </w:p>
    <w:p>
      <w:pPr>
        <w:jc w:val="both"/>
        <w:ind w:left="640" w:right="739" w:firstLine="351"/>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Expected Term. </w:t>
      </w:r>
      <w:r>
        <w:rPr>
          <w:rFonts w:ascii="Times New Roman" w:cs="Times New Roman" w:eastAsia="Times New Roman" w:hAnsi="Times New Roman"/>
          <w:sz w:val="14"/>
          <w:szCs w:val="14"/>
          <w:color w:val="auto"/>
        </w:rPr>
        <w:t>The expected term represents the period that the options granted are expected to be outstanding. The expected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term of stock options issued is determined using the simplified method (based on the mid-point between the vesting date and the end of the contractual term) as the Company has concluded that its stock option exercise history does not provide a reasonable basis upon which to estimate expected term.</w:t>
      </w:r>
    </w:p>
    <w:p>
      <w:pPr>
        <w:spacing w:after="0" w:line="137" w:lineRule="exact"/>
        <w:rPr>
          <w:sz w:val="20"/>
          <w:szCs w:val="20"/>
          <w:color w:val="auto"/>
        </w:rPr>
      </w:pPr>
    </w:p>
    <w:p>
      <w:pPr>
        <w:ind w:left="640" w:right="69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Expected Volatility. </w:t>
      </w:r>
      <w:r>
        <w:rPr>
          <w:rFonts w:ascii="Times New Roman" w:cs="Times New Roman" w:eastAsia="Times New Roman" w:hAnsi="Times New Roman"/>
          <w:sz w:val="14"/>
          <w:szCs w:val="14"/>
          <w:color w:val="auto"/>
        </w:rPr>
        <w:t>Given the Company’s limited historical stock price volatility data, the Company derived the expected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volatility from the average historical volatilities over a period approximately equal to the expected term of comparable publicly traded companies within its peer group that were deemed to be representative of future stock price trends as the Company has limited trading history for its common stock. The Company will continue to apply this process until a sufficient amount of historical information regarding the volatility of its own stock price becomes available.</w:t>
      </w:r>
    </w:p>
    <w:p>
      <w:pPr>
        <w:spacing w:after="0" w:line="139" w:lineRule="exact"/>
        <w:rPr>
          <w:sz w:val="20"/>
          <w:szCs w:val="20"/>
          <w:color w:val="auto"/>
        </w:rPr>
      </w:pPr>
    </w:p>
    <w:p>
      <w:pPr>
        <w:ind w:left="640" w:right="679" w:firstLine="351"/>
        <w:spacing w:after="0" w:line="295" w:lineRule="auto"/>
        <w:rPr>
          <w:sz w:val="20"/>
          <w:szCs w:val="20"/>
          <w:color w:val="auto"/>
        </w:rPr>
      </w:pPr>
      <w:r>
        <w:rPr>
          <w:rFonts w:ascii="Times New Roman" w:cs="Times New Roman" w:eastAsia="Times New Roman" w:hAnsi="Times New Roman"/>
          <w:sz w:val="14"/>
          <w:szCs w:val="14"/>
          <w:i w:val="1"/>
          <w:iCs w:val="1"/>
          <w:color w:val="auto"/>
        </w:rPr>
        <w:t xml:space="preserve">Risk-free Interest Rate. </w:t>
      </w:r>
      <w:r>
        <w:rPr>
          <w:rFonts w:ascii="Times New Roman" w:cs="Times New Roman" w:eastAsia="Times New Roman" w:hAnsi="Times New Roman"/>
          <w:sz w:val="14"/>
          <w:szCs w:val="14"/>
          <w:color w:val="auto"/>
        </w:rPr>
        <w:t>The risk-free interest rate is based on the U.S. Treasury rate, with maturities similar to the expected term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stock options.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31" w:name="page32"/>
    <w:bookmarkEnd w:id="31"/>
    <w:p>
      <w:pPr>
        <w:ind w:left="640" w:right="1039" w:firstLine="351"/>
        <w:spacing w:after="0" w:line="295" w:lineRule="auto"/>
        <w:rPr>
          <w:sz w:val="20"/>
          <w:szCs w:val="20"/>
          <w:color w:val="auto"/>
        </w:rPr>
      </w:pPr>
      <w:r>
        <w:rPr>
          <w:rFonts w:ascii="Times New Roman" w:cs="Times New Roman" w:eastAsia="Times New Roman" w:hAnsi="Times New Roman"/>
          <w:sz w:val="14"/>
          <w:szCs w:val="14"/>
          <w:i w:val="1"/>
          <w:iCs w:val="1"/>
          <w:color w:val="auto"/>
        </w:rPr>
        <w:t xml:space="preserve">Expected Dividend Yield. </w:t>
      </w:r>
      <w:r>
        <w:rPr>
          <w:rFonts w:ascii="Times New Roman" w:cs="Times New Roman" w:eastAsia="Times New Roman" w:hAnsi="Times New Roman"/>
          <w:sz w:val="14"/>
          <w:szCs w:val="14"/>
          <w:color w:val="auto"/>
        </w:rPr>
        <w:t>The Company has never paid dividends on its common stock and does not anticipate paying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dividends in the foreseeable future. Therefore, the Company uses an expected dividend yield of zero.</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13. Employee Benefit Plans</w:t>
      </w:r>
    </w:p>
    <w:p>
      <w:pPr>
        <w:spacing w:after="0" w:line="99"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In June 2022, the Company adopted a retirement plan, which is qualified under section 401(k) of the Internal Revenue Code of 1986, as amended, for the Company’s U.S. employees. The plan allows eligible employees to defer, at the employee’s discretion, pretax compensation up to the Internal Revenue Service (the “IRS”) annual limits. The Company matches up to 5% of an employee’s pay that they contribute to the plan, subject to IRS limitations. Expenses associated with the Company’s matching contribution totaled $0.4 million and $0.1 million for the three months ended March 31, 2025 and 2024, respectively.</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14. Related-Party Transactions</w:t>
      </w:r>
    </w:p>
    <w:p>
      <w:pPr>
        <w:spacing w:after="0" w:line="99"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In September 2015, the Company entered into a consulting agreement, superseded in July 2022, for regulatory and development services with Pacific-Link Regulatory Consulting, Inc., an entity owned by the President/Chief Executive Officer/director and his spouse, the Chief Medical Officer of the Company. The Company incurred consulting expenses related to this agreement totaling $0.7 million in each of the three months ended March 31, 2025 and 2024.</w:t>
      </w:r>
    </w:p>
    <w:p>
      <w:pPr>
        <w:spacing w:after="0" w:line="140"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In September 2018, the Company entered into a consulting agreement with Marlinspike Group, LLC (“Marlinspike Group”) to provide management, business consulting services and business development support. The managing member of Marlinspike Group is the Chair of the Board of Directors of the Company and one of its stockholders. The Company incurred expenses related to this agreement totaling $0.1 million in each of the three months ended March 31, 2025 and 2024.</w:t>
      </w:r>
    </w:p>
    <w:p>
      <w:pPr>
        <w:spacing w:after="0" w:line="140"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 xml:space="preserve">In April 2021, the Company entered into a consulting agreement, as amended in April 2022, with a member of the Board of Directors of the Company for general advice and assistance with the development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any future product candidates. As compensation for the consulting services the Company granted the member of the Board of Directors 590,950 stock options that vest over a four-year period. The Company incurred less than $0.1 million in stock-based compensation expense related to this agreement in each of the three months ended March 31, 2025 and 2024.</w:t>
      </w:r>
    </w:p>
    <w:p>
      <w:pPr>
        <w:spacing w:after="0" w:line="142" w:lineRule="exact"/>
        <w:rPr>
          <w:sz w:val="20"/>
          <w:szCs w:val="20"/>
          <w:color w:val="auto"/>
        </w:rPr>
      </w:pPr>
    </w:p>
    <w:p>
      <w:pPr>
        <w:ind w:left="640" w:right="819" w:firstLine="351"/>
        <w:spacing w:after="0" w:line="265" w:lineRule="auto"/>
        <w:rPr>
          <w:sz w:val="20"/>
          <w:szCs w:val="20"/>
          <w:color w:val="auto"/>
        </w:rPr>
      </w:pPr>
      <w:r>
        <w:rPr>
          <w:rFonts w:ascii="Times New Roman" w:cs="Times New Roman" w:eastAsia="Times New Roman" w:hAnsi="Times New Roman"/>
          <w:sz w:val="14"/>
          <w:szCs w:val="14"/>
          <w:color w:val="auto"/>
        </w:rPr>
        <w:t xml:space="preserve">As described in </w:t>
      </w:r>
      <w:r>
        <w:rPr>
          <w:rFonts w:ascii="Times New Roman" w:cs="Times New Roman" w:eastAsia="Times New Roman" w:hAnsi="Times New Roman"/>
          <w:sz w:val="14"/>
          <w:szCs w:val="14"/>
          <w:u w:val="single" w:color="auto"/>
          <w:color w:val="0000FF"/>
        </w:rPr>
        <w:t>Note 10 – In-Licensing and Supply</w:t>
      </w:r>
      <w:r>
        <w:rPr>
          <w:rFonts w:ascii="Times New Roman" w:cs="Times New Roman" w:eastAsia="Times New Roman" w:hAnsi="Times New Roman"/>
          <w:sz w:val="14"/>
          <w:szCs w:val="14"/>
          <w:color w:val="auto"/>
        </w:rPr>
        <w:t xml:space="preserve">, the Company is required to make milestone payments to Aegis upon achievement of certain regulatory and commercial milestones, and royalty payments to Aegis based on net product sales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November 2024, OrbiMed entered into an agreement with Aegis to purchase the rights, royalty interests, and related sales milestone payments on net product sales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A member of the Company’s Board of Directors is a General Partner at OrbiMed. The Company incurred $0.5 million in royalty expense payable to OrbiMed during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1216025</wp:posOffset>
            </wp:positionH>
            <wp:positionV relativeFrom="paragraph">
              <wp:posOffset>-465455</wp:posOffset>
            </wp:positionV>
            <wp:extent cx="127952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9525" cy="6985"/>
                    </a:xfrm>
                    <a:prstGeom prst="rect">
                      <a:avLst/>
                    </a:prstGeom>
                    <a:noFill/>
                  </pic:spPr>
                </pic:pic>
              </a:graphicData>
            </a:graphic>
          </wp:anchor>
        </w:drawing>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15. Segment Information</w:t>
      </w:r>
    </w:p>
    <w:p>
      <w:pPr>
        <w:spacing w:after="0" w:line="99" w:lineRule="exact"/>
        <w:rPr>
          <w:sz w:val="20"/>
          <w:szCs w:val="20"/>
          <w:color w:val="auto"/>
        </w:rPr>
      </w:pPr>
    </w:p>
    <w:p>
      <w:pPr>
        <w:ind w:left="640" w:right="759" w:firstLine="351"/>
        <w:spacing w:after="0" w:line="261" w:lineRule="auto"/>
        <w:rPr>
          <w:sz w:val="20"/>
          <w:szCs w:val="20"/>
          <w:color w:val="auto"/>
        </w:rPr>
      </w:pPr>
      <w:r>
        <w:rPr>
          <w:rFonts w:ascii="Times New Roman" w:cs="Times New Roman" w:eastAsia="Times New Roman" w:hAnsi="Times New Roman"/>
          <w:sz w:val="14"/>
          <w:szCs w:val="14"/>
          <w:color w:val="auto"/>
        </w:rPr>
        <w:t>The Company reports segment information using the management approach and views its operations and manages its business as a single operating segment. Revenue is generated in the United States through product sales. Outside of the United States, revenue is generated through collaboration and license agreements, including supply and distribution. During the three months ended March 31, 2025, the Company had five customers that each accounted for more than 10% of the Company’s gross product revenue. Those customers’ revenue amounts for the three months ended March 31, 2025 were: $3.4 million, $2.0 million, $1.8 million, $1.6 million, and $1.6 million. For the three months ended March 31, 2025, the Company had one customer, ALK, which accounted for more than 10% of the Company’s revenue under collaboration agreements. Under the ALK Collaboration Agreement, the Company recognized $0.2 million during the three months ended March 31, 2025.</w:t>
      </w:r>
    </w:p>
    <w:p>
      <w:pPr>
        <w:spacing w:after="0" w:line="146" w:lineRule="exact"/>
        <w:rPr>
          <w:sz w:val="20"/>
          <w:szCs w:val="20"/>
          <w:color w:val="auto"/>
        </w:rPr>
      </w:pPr>
    </w:p>
    <w:p>
      <w:pPr>
        <w:ind w:left="640" w:right="759" w:firstLine="351"/>
        <w:spacing w:after="0" w:line="268" w:lineRule="auto"/>
        <w:rPr>
          <w:sz w:val="20"/>
          <w:szCs w:val="20"/>
          <w:color w:val="auto"/>
        </w:rPr>
      </w:pPr>
      <w:r>
        <w:rPr>
          <w:rFonts w:ascii="Times New Roman" w:cs="Times New Roman" w:eastAsia="Times New Roman" w:hAnsi="Times New Roman"/>
          <w:sz w:val="14"/>
          <w:szCs w:val="14"/>
          <w:color w:val="auto"/>
        </w:rPr>
        <w:t>The Company’s Chief Operating Decision Maker (“CODM”), who is the Chief Executive Officer, allocates resources and evaluates the performance of the operating segment based on historical and projected product sales, segment operating expenses, and condensed consolidated net loss, as reflected in the accompanying condensed consolidated statements of operations and comprehensive loss, which is the segment measure of loss.</w:t>
      </w:r>
    </w:p>
    <w:p>
      <w:pPr>
        <w:spacing w:after="0" w:line="140" w:lineRule="exact"/>
        <w:rPr>
          <w:sz w:val="20"/>
          <w:szCs w:val="20"/>
          <w:color w:val="auto"/>
        </w:rPr>
      </w:pPr>
    </w:p>
    <w:p>
      <w:pPr>
        <w:ind w:left="640" w:right="879" w:firstLine="351"/>
        <w:spacing w:after="0" w:line="268" w:lineRule="auto"/>
        <w:rPr>
          <w:sz w:val="20"/>
          <w:szCs w:val="20"/>
          <w:color w:val="auto"/>
        </w:rPr>
      </w:pPr>
      <w:r>
        <w:rPr>
          <w:rFonts w:ascii="Times New Roman" w:cs="Times New Roman" w:eastAsia="Times New Roman" w:hAnsi="Times New Roman"/>
          <w:sz w:val="14"/>
          <w:szCs w:val="14"/>
          <w:color w:val="auto"/>
        </w:rPr>
        <w:t>The segment reports that are provided to the CODM are tracked against the Company’s internally budgeted expenses. The segment operating expense categories consist primarily of the Company’s functional departments: Clinical, Development, Medical Affairs, Sales and Marketing, and General and Administrative. The CODM does not review assets when evaluating the operating segment’s performance; therefore, this information is not presented.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3" w:right="1440" w:bottom="1440" w:gutter="0" w:footer="0" w:header="0"/>
        </w:sectPr>
      </w:pPr>
    </w:p>
    <w:bookmarkStart w:id="32" w:name="page33"/>
    <w:bookmarkEnd w:id="32"/>
    <w:p>
      <w:pPr>
        <w:ind w:left="980"/>
        <w:spacing w:after="0"/>
        <w:rPr>
          <w:sz w:val="20"/>
          <w:szCs w:val="20"/>
          <w:color w:val="auto"/>
        </w:rPr>
      </w:pPr>
      <w:r>
        <w:rPr>
          <w:rFonts w:ascii="Times New Roman" w:cs="Times New Roman" w:eastAsia="Times New Roman" w:hAnsi="Times New Roman"/>
          <w:sz w:val="14"/>
          <w:szCs w:val="14"/>
          <w:color w:val="auto"/>
        </w:rPr>
        <w:t>Segment reporting provided to the CODM for the three months ended March 31, 2025 and 2024 (in thousands):</w:t>
      </w:r>
    </w:p>
    <w:p>
      <w:pPr>
        <w:spacing w:after="0" w:line="124"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0" w:type="dxa"/>
            <w:vAlign w:val="bottom"/>
            <w:gridSpan w:val="6"/>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09"/>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5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69"/>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 revenue, net</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7,763</w:t>
            </w:r>
          </w:p>
        </w:tc>
        <w:tc>
          <w:tcPr>
            <w:tcW w:w="12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Revenue under collaboration agreements</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Segment operating expenses:</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goods sold</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Clinical</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2,816</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Development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Medical affairs</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8,719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3,690</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3,315</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Total segment operating expenses</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45,150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13,192</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(37,177)</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(13,192)</w:t>
            </w: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8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(33,940)</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(10,292)</w:t>
            </w: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-476885</wp:posOffset>
            </wp:positionV>
            <wp:extent cx="4762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-476885</wp:posOffset>
            </wp:positionV>
            <wp:extent cx="4762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-19685</wp:posOffset>
            </wp:positionV>
            <wp:extent cx="4762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-6350</wp:posOffset>
            </wp:positionV>
            <wp:extent cx="4762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16. Subsequent Events</w:t>
      </w:r>
    </w:p>
    <w:p>
      <w:pPr>
        <w:spacing w:after="0" w:line="99"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 xml:space="preserve">On May 2, 2025, the Company entered into a co-promotion agreement (the “ALK Co-Promotion Agreement”) with ALK-Abelló, Inc. (“ALK U.S.”), an affiliate of ALK-Abelló A/S, to co-promote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to specified pediatricians and other prescribers in the U.S. The Company will pay ALK U.S. a base fee to compensate ALK U.S. for its promotion activities. Payments for the first year of the partnership will be deferred and paid in the second year of the partnership. In addition to the base fee, ALK U.S. will be eligible to receive performance-based bonus payments from the Company starting in the second year of the partnership equal to 30% of the portion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net sales generated from the ALK U.S.-targeted prescribers in excess of a specified initial market share threshold in year two or a 50% market share threshold during years three and four of the partnership.</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33" w:name="page34"/>
    <w:bookmarkEnd w:id="33"/>
    <w:p>
      <w:pPr>
        <w:ind w:left="6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97"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together with our unaudited condensed consolidated financial statements and related notes thereto included in “Item 1. Financial Statements (Unaudited)” of this Quarterly Report on Form 10-Q and the audited financial statements and related notes thereto as of and for the year ended December 31, 2024 included in our Annual Report on Form 10-K, filed with the Securities and Exchange Commission (“SEC”), on March 20, 2025. Some of the information contained in this discussion and analysis or set forth elsewhere in this Quarterly Report, including information with respect to our plans and strategy for our business, includes forward-looking statements that involve risks and uncertainties. For a complete discussion of forward-looking statements, see the section above entitled “Forward Looking Statements.” As a result of many factors, including those factors set forth in the under the caption “Item 1A. Risk Factors” of this Quarterly Report, our actual results could differ materially from the results described in or implied by the forward-looking statements contained in the following discussion and analysis. You should carefully read the “Risk Factors” section of this Quarterly Report to gain an understanding of the various factors that could cause actual results to differ materially from our forward-looking statements.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7"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 xml:space="preserve">We are a biopharmaceutical company focused on the commercialization and development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(currently identified in the EU by the tradename </w:t>
      </w:r>
      <w:r>
        <w:rPr>
          <w:rFonts w:ascii="Times New Roman" w:cs="Times New Roman" w:eastAsia="Times New Roman" w:hAnsi="Times New Roman"/>
          <w:sz w:val="14"/>
          <w:szCs w:val="14"/>
          <w:i w:val="1"/>
          <w:iCs w:val="1"/>
          <w:color w:val="auto"/>
        </w:rPr>
        <w:t>EURneffy</w:t>
      </w:r>
      <w:r>
        <w:rPr>
          <w:rFonts w:ascii="Times New Roman" w:cs="Times New Roman" w:eastAsia="Times New Roman" w:hAnsi="Times New Roman"/>
          <w:sz w:val="14"/>
          <w:szCs w:val="14"/>
          <w:color w:val="auto"/>
        </w:rPr>
        <w:t xml:space="preserve">) for the needle-free intranasal delivery of epinephrine for the emergency treatment of Type I allergic reactions, including anaphylaxis.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is the first and only FDA and EC-approved needle-free epinephrine product, and the first new delivery method for epinephrine in more than 35 years.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is a proprietary composition of epinephrine with an innovative absorption enhancer called Intravail, which allows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to safely provide intranasal delivery of epinephrine at a low dose within the exposures of approved injectable products across a range of dosing conditions (including repeat dosing and allergen challenge). We believe the market opportunity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the United States alone is significant. At the current list price for a two-pack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target total gross-to-net yield, the estimated 6.5 million patients currently prescribed an epinephrine autoinjector in the United States represents an initial addressable market opportunity of approximately $3 billion in annual net sales, while the remaining 13.5 million diagnosed patients that have not been prescribed an epinephrine product represent an additional addressable market opportunity of approximately $7 billion in annual net sales.</w:t>
      </w:r>
    </w:p>
    <w:p>
      <w:pPr>
        <w:spacing w:after="0" w:line="144"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 xml:space="preserve">We believe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’s “no needle, no injection” approach addresses a significant unmet need in the use of epinephrine, which, except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is currently approved only in injectable formulations for the emergency treatment of Type I allergic reactions. There are approximately 40 million people in the United States who experience Type I allergic reactions. Of this group, approximately 20 million people have been diagnosed and experienced severe Type I allergic reactions that may lead to anaphylaxis, and approximately 6.5 million were prescribed an epinephrine autoinjector. However (in 2023, for example), only 3.2 million filled their active epinephrine autoinjector prescription, and of those, only half consistently carry their prescribed autoinjector with them due to the many drawbacks of these devices.</w:t>
      </w:r>
    </w:p>
    <w:p>
      <w:pPr>
        <w:spacing w:after="0" w:line="146"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These drawbacks include the use of needles, which can result in patient and caregiver injury as well as hesitation and delays in administration due principally to apprehension and pain of needles, allowing the allergic reaction to progress in severity leading to symptoms that seriously impact patient quality of life, to potential need for emergency services and/or hospitalizations, and to life-threatening symptoms or events. In particular, intra-muscular injections are subject to dosing errors and risk of accidental blood vessel injections, which can cause a significant spike in the intravascular delivery of epinephrine potentially leading to serious cardiovascular complications or events. In aggregate, we estimate that up to 90% of patients prescribed an epinephrine device are not achieving an optimal treatment outcome today.</w:t>
      </w:r>
    </w:p>
    <w:p>
      <w:pPr>
        <w:spacing w:after="0" w:line="142" w:lineRule="exact"/>
        <w:rPr>
          <w:sz w:val="20"/>
          <w:szCs w:val="20"/>
          <w:color w:val="auto"/>
        </w:rPr>
      </w:pPr>
    </w:p>
    <w:p>
      <w:pPr>
        <w:ind w:left="640" w:right="699" w:firstLine="387"/>
        <w:spacing w:after="0" w:line="266" w:lineRule="auto"/>
        <w:rPr>
          <w:sz w:val="20"/>
          <w:szCs w:val="20"/>
          <w:color w:val="auto"/>
        </w:rPr>
      </w:pPr>
      <w:r>
        <w:rPr>
          <w:rFonts w:ascii="Times New Roman" w:cs="Times New Roman" w:eastAsia="Times New Roman" w:hAnsi="Times New Roman"/>
          <w:sz w:val="14"/>
          <w:szCs w:val="14"/>
          <w:color w:val="auto"/>
        </w:rPr>
        <w:t xml:space="preserve">We believe </w:t>
      </w:r>
      <w:r>
        <w:rPr>
          <w:rFonts w:ascii="Times New Roman" w:cs="Times New Roman" w:eastAsia="Times New Roman" w:hAnsi="Times New Roman"/>
          <w:sz w:val="14"/>
          <w:szCs w:val="14"/>
          <w:i w:val="1"/>
          <w:iCs w:val="1"/>
          <w:color w:val="auto"/>
        </w:rPr>
        <w:t>neffy’s</w:t>
      </w:r>
      <w:r>
        <w:rPr>
          <w:rFonts w:ascii="Times New Roman" w:cs="Times New Roman" w:eastAsia="Times New Roman" w:hAnsi="Times New Roman"/>
          <w:sz w:val="14"/>
          <w:szCs w:val="14"/>
          <w:color w:val="auto"/>
        </w:rPr>
        <w:t xml:space="preserve"> and our intranasal epinephrine technology product candidates’ design, particularly the compact size and “no needle, no injection” delivery, eliminates needle-related apprehension and pain, improves portability and ease of use, is highly reliable, and will increase prescriptions for epinephrine, making it more likely that patients and caregivers will administer epinephrine sooner, achieve more rapid symptom relief, and prevent the allergic reaction from progressing to a level of severity that could lead to hospitalization or even death.</w:t>
      </w:r>
    </w:p>
    <w:p>
      <w:pPr>
        <w:spacing w:after="0" w:line="139" w:lineRule="exact"/>
        <w:rPr>
          <w:sz w:val="20"/>
          <w:szCs w:val="20"/>
          <w:color w:val="auto"/>
        </w:rPr>
      </w:pPr>
    </w:p>
    <w:p>
      <w:pPr>
        <w:ind w:left="640" w:right="679" w:firstLine="351"/>
        <w:spacing w:after="0" w:line="266" w:lineRule="auto"/>
        <w:rPr>
          <w:sz w:val="20"/>
          <w:szCs w:val="20"/>
          <w:color w:val="auto"/>
        </w:rPr>
      </w:pPr>
      <w:r>
        <w:rPr>
          <w:rFonts w:ascii="Times New Roman" w:cs="Times New Roman" w:eastAsia="Times New Roman" w:hAnsi="Times New Roman"/>
          <w:sz w:val="14"/>
          <w:szCs w:val="14"/>
          <w:color w:val="auto"/>
        </w:rPr>
        <w:t xml:space="preserve">Data from our studies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intranasal epinephrine technology product candidates demonstrated nasally delivered epinephrine reached blood levels comparable to those of already approved epinephrine injectable products across single dosing, repeat dosing, self-administration or allergen challenge conditions, and produced statistically significant responses compared to injection on pharmacodynamic surrogates for efficacy even one minute after dosing with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intranasal epinephrine technology product candidates.</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34" w:name="page35"/>
    <w:bookmarkEnd w:id="34"/>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auto"/>
        </w:rPr>
        <w:t xml:space="preserve">On August 9, 2024, the FDA approved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2 mg for the emergency treatment of Type I allergic reactions, including anaphylaxis, in adults and children who weigh 30 kg or greater. As a result, we initiated commercial launch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2 mg in the United States, with product becoming available for shipment on September 23, 2024. This commercialization effort currently includes a direct sales force of approximately 120 individuals targeting high-volume epinephrine prescribers that is supported by branded direct-to-consumer marketing, disease awareness campaigns with advocacy groups and non-personal promotion including continuing medical education programs in collaboration with allergist societies, speaker bureaus, peer-to-peer programs and participation in regional and national medical conferences. On March 5, 2025, the FDA approved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1 mg for the emergency treatment of Type I allergic reactions, including anaphylaxis, in patients who are four years of age and older and weigh 15 kg to less than 30 kg. As a result, we initiated commercial launch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1 mg in the United States, with product becoming available on May 7, 2025.</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neffy U.S. Commercial Launch Initiated in September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127635</wp:posOffset>
            </wp:positionV>
            <wp:extent cx="2175510" cy="2175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75510" cy="2175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 xml:space="preserve">Our launch strategy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the United States involves an initial direct sales force outreach to high-volume prescribers of epinephrine accounting for approximately 55% of prescriptions in the last year through an efficient sales force. Our sales force is comprised of approximately 120 ARS Pharma employees, who serve as sales reps, virtual reps and areas sales managers that began field operations in early October 2024, as well as approximately 60 sales reps via our co-promotion partner, ALK-Abelló, Inc. (“ALK U.S.”, an affiliate of ALK-Abelló A/S (“ALK”)), who we anticipate will begin field operations in early June 2025 and will target up to 9,000 specified pediatricians and other prescribers in the U.S. Our sales force outreach has included: active participation since November 2024 of approximately 2,500 healthcare professionals in our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experience program that allows healthcare professionals to use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firsthand as rescue therapy for anaphylaxis during in-clinic allergen challenge; extensive non-personal promotion including continuing medical education programs in collaboration with allergist societies, speaker bureaus, peer-to-peer programs and participation in regional and national medical conferences; engagement and contracting with payors to obtain timely coverage with favorable gross-to-net discounting; our </w:t>
      </w:r>
      <w:r>
        <w:rPr>
          <w:rFonts w:ascii="Times New Roman" w:cs="Times New Roman" w:eastAsia="Times New Roman" w:hAnsi="Times New Roman"/>
          <w:sz w:val="14"/>
          <w:szCs w:val="14"/>
          <w:i w:val="1"/>
          <w:iCs w:val="1"/>
          <w:color w:val="auto"/>
        </w:rPr>
        <w:t>neffyconnect</w:t>
      </w:r>
      <w:r>
        <w:rPr>
          <w:rFonts w:ascii="Times New Roman" w:cs="Times New Roman" w:eastAsia="Times New Roman" w:hAnsi="Times New Roman"/>
          <w:sz w:val="14"/>
          <w:szCs w:val="14"/>
          <w:color w:val="auto"/>
        </w:rPr>
        <w:t xml:space="preserve"> program that provides support to physicians and patients including our $25 co-pay savings card, $199 cash price and patient assistance programs; a telemedicine service to conveniently obtain a prescription online; partnerships with patient advocacy organizations including disease awareness campaigns in 2025; and branded direct to consumer advertising that is expected to commence in the second quarter of 2025. We also initiated a U.S. post-marketing registry-based study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for the treatment of anaphylaxis in oral food challenge or allergen immunotherapy clinics in the second quarter of 2025.</w:t>
      </w:r>
    </w:p>
    <w:p>
      <w:pPr>
        <w:spacing w:after="0" w:line="153"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 xml:space="preserve">On August 22, 2024, the EC granted marketing authorization in the EU for </w:t>
      </w:r>
      <w:r>
        <w:rPr>
          <w:rFonts w:ascii="Times New Roman" w:cs="Times New Roman" w:eastAsia="Times New Roman" w:hAnsi="Times New Roman"/>
          <w:sz w:val="14"/>
          <w:szCs w:val="14"/>
          <w:i w:val="1"/>
          <w:iCs w:val="1"/>
          <w:color w:val="auto"/>
        </w:rPr>
        <w:t>EURneffy</w:t>
      </w:r>
      <w:r>
        <w:rPr>
          <w:rFonts w:ascii="Times New Roman" w:cs="Times New Roman" w:eastAsia="Times New Roman" w:hAnsi="Times New Roman"/>
          <w:sz w:val="14"/>
          <w:szCs w:val="14"/>
          <w:color w:val="auto"/>
        </w:rPr>
        <w:t xml:space="preserve"> (the trade name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2 mg in the EU), for the emergency treatment of allergic reactions (anaphylaxis), in adults and children who weigh 30 kg or greater. Through our collaboration with ALK (discussed below), we anticipate that </w:t>
      </w:r>
      <w:r>
        <w:rPr>
          <w:rFonts w:ascii="Times New Roman" w:cs="Times New Roman" w:eastAsia="Times New Roman" w:hAnsi="Times New Roman"/>
          <w:sz w:val="14"/>
          <w:szCs w:val="14"/>
          <w:i w:val="1"/>
          <w:iCs w:val="1"/>
          <w:color w:val="auto"/>
        </w:rPr>
        <w:t>EURneffy</w:t>
      </w:r>
      <w:r>
        <w:rPr>
          <w:rFonts w:ascii="Times New Roman" w:cs="Times New Roman" w:eastAsia="Times New Roman" w:hAnsi="Times New Roman"/>
          <w:sz w:val="14"/>
          <w:szCs w:val="14"/>
          <w:color w:val="auto"/>
        </w:rPr>
        <w:t xml:space="preserve"> will be made available to patients in certain EU member states in 2025. Regulatory review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is ongoing in Canada, the United Kingdom (“U.K.”), China, Japan, and Australia with filings submitted by the partners, or by ARS Pharma on behalf of our partners, during the fourth quarter of 2024.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has been approved or is under regulatory review in countries representing approximately 98% of the current global epinephrine autoinjector sales. Regulatory decisions are anticipated by mid-2025 in the U.K., the second half of 2025 in Japan, year-end 2025 in Canada and Australia, and in the first half of 2026 in China. Commercial launches are expected by mid-2025 in Germany, as well as in the U.K. pending receipt of U.K. regulatory approval.</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3" w:right="1440" w:bottom="1440" w:gutter="0" w:footer="0" w:header="0"/>
        </w:sectPr>
      </w:pPr>
    </w:p>
    <w:bookmarkStart w:id="35" w:name="page36"/>
    <w:bookmarkEnd w:id="35"/>
    <w:p>
      <w:pPr>
        <w:ind w:left="640" w:right="679" w:firstLine="351"/>
        <w:spacing w:after="0" w:line="264" w:lineRule="auto"/>
        <w:rPr>
          <w:sz w:val="20"/>
          <w:szCs w:val="20"/>
          <w:color w:val="auto"/>
        </w:rPr>
      </w:pPr>
      <w:r>
        <w:rPr>
          <w:rFonts w:ascii="Times New Roman" w:cs="Times New Roman" w:eastAsia="Times New Roman" w:hAnsi="Times New Roman"/>
          <w:sz w:val="14"/>
          <w:szCs w:val="14"/>
          <w:color w:val="auto"/>
        </w:rPr>
        <w:t>We reported positive topline results demonstrating statistically significant and clinically meaningful improvements in treatment-refractory chronic urticaria patients at the American Academy of Allergy and Immunology medical conference in February 2024, and anticipate initiating a Phase 2b randomized, placebo controlled outpatient clinical trial in chronic spontaneous urticaria patients on a chronic treatment regimens who still experience flares or exacerbations. This Phase 2b study is anticipated to initiate in the second quarter of 2025, with topline data anticipated in early 2026, followed by the potential initiation of a single pivotal efficacy study in 2026.</w:t>
      </w:r>
    </w:p>
    <w:p>
      <w:pPr>
        <w:spacing w:after="0" w:line="317"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 xml:space="preserve">Since our inception in 2015 as ARS Pharmaceuticals, Inc., we have devoted substantially all of our efforts to developing intellectual property, conducting product development and clinical trials, organizing and staffing, business planning, raising capital, building infrastructure, pre-commercial and commercial activities, and providing general and administrative support for these operations. We began commercial operations in September 2024 and therefore have had limited net product sales. We have funded our operations primarily with proceeds from the Merger (see </w:t>
      </w:r>
      <w:r>
        <w:rPr>
          <w:rFonts w:ascii="Times New Roman" w:cs="Times New Roman" w:eastAsia="Times New Roman" w:hAnsi="Times New Roman"/>
          <w:sz w:val="14"/>
          <w:szCs w:val="14"/>
          <w:u w:val="single" w:color="auto"/>
          <w:color w:val="0000FF"/>
        </w:rPr>
        <w:t>Note 1 – Nature of Business</w:t>
      </w:r>
      <w:r>
        <w:rPr>
          <w:rFonts w:ascii="Times New Roman" w:cs="Times New Roman" w:eastAsia="Times New Roman" w:hAnsi="Times New Roman"/>
          <w:sz w:val="14"/>
          <w:szCs w:val="14"/>
          <w:color w:val="auto"/>
        </w:rPr>
        <w:t xml:space="preserve"> to the notes to the condensed consolidated financial statements included in this report), private placement of convertible preferred stock, issuance of common stock, licensing, supply and distribution arrangements with our commercialization partners, bank debt, and limited net product sales. As of March 31, 2025, we had cash, cash equivalents, and short-term investments of $275.7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2489835</wp:posOffset>
            </wp:positionH>
            <wp:positionV relativeFrom="paragraph">
              <wp:posOffset>-354330</wp:posOffset>
            </wp:positionV>
            <wp:extent cx="102743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7430" cy="6985"/>
                    </a:xfrm>
                    <a:prstGeom prst="rect">
                      <a:avLst/>
                    </a:prstGeom>
                    <a:noFill/>
                  </pic:spPr>
                </pic:pic>
              </a:graphicData>
            </a:graphic>
          </wp:anchor>
        </w:drawing>
      </w:r>
    </w:p>
    <w:p>
      <w:pPr>
        <w:spacing w:after="0" w:line="126"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 xml:space="preserve">We have incurred net losses from operations in most years since our inception. Our net loss from operations for the three months ended March 31, 2025 and 2024 was $37.2 million and $13.2 million, respectively. As of March 31, 2025, we had an accumulated deficit of $157.2 million. Until we consistently generate positive net income, if ever, our net losses may fluctuate significantly from quarter-to-quarter and year-to-year, depending on the timing of our clinical trials, our expenditures on other development activities, the cost for regulatory filings, expenses for commercial activities to establish, maintain and enhance sales, marketing and distribution capabilities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the timing and volume of our product sales, and our ability to earn potential regulatory and commercial milestones under our license and collaboration arrangements.</w:t>
      </w:r>
    </w:p>
    <w:p>
      <w:pPr>
        <w:spacing w:after="0" w:line="144" w:lineRule="exact"/>
        <w:rPr>
          <w:sz w:val="20"/>
          <w:szCs w:val="20"/>
          <w:color w:val="auto"/>
        </w:rPr>
      </w:pPr>
    </w:p>
    <w:p>
      <w:pPr>
        <w:ind w:left="640" w:right="759" w:firstLine="351"/>
        <w:spacing w:after="0" w:line="260" w:lineRule="auto"/>
        <w:rPr>
          <w:sz w:val="20"/>
          <w:szCs w:val="20"/>
          <w:color w:val="auto"/>
        </w:rPr>
      </w:pPr>
      <w:r>
        <w:rPr>
          <w:rFonts w:ascii="Times New Roman" w:cs="Times New Roman" w:eastAsia="Times New Roman" w:hAnsi="Times New Roman"/>
          <w:sz w:val="14"/>
          <w:szCs w:val="14"/>
          <w:color w:val="auto"/>
        </w:rPr>
        <w:t>Until such time, if ever, that we can generate substantial product revenue, we may finance our operations through our existing cash, cash equivalents, short-term investments, equity offerings, debt financings and other capital sources which may include collaborations, strategic alliances, marketing, distribution or licensing arrangements or other arrangements with third parties. However, we may be unable to raise additional funds or enter into such other arrangements when needed on favorable terms or at all. In addition, any future debt agreements may limit our ability to enter into certain debt financings without the consent of the lenders thereunder. Our failure to raise capital or enter into such other arrangements when needed would have a negative impact on our financial condition and may require us to delay or reduce our marketing and sales efforts, or delay, reduce or terminate our research and development programs or other operations, or grant rights to develop and market products or product candidates that we would otherwise prefer to develop and market ourselves.</w:t>
      </w:r>
    </w:p>
    <w:p>
      <w:pPr>
        <w:spacing w:after="0" w:line="147" w:lineRule="exact"/>
        <w:rPr>
          <w:sz w:val="20"/>
          <w:szCs w:val="20"/>
          <w:color w:val="auto"/>
        </w:rPr>
      </w:pPr>
    </w:p>
    <w:p>
      <w:pPr>
        <w:ind w:left="640" w:right="819" w:firstLine="351"/>
        <w:spacing w:after="0" w:line="269" w:lineRule="auto"/>
        <w:rPr>
          <w:sz w:val="20"/>
          <w:szCs w:val="20"/>
          <w:color w:val="auto"/>
        </w:rPr>
      </w:pPr>
      <w:r>
        <w:rPr>
          <w:rFonts w:ascii="Times New Roman" w:cs="Times New Roman" w:eastAsia="Times New Roman" w:hAnsi="Times New Roman"/>
          <w:sz w:val="14"/>
          <w:szCs w:val="14"/>
          <w:color w:val="auto"/>
        </w:rPr>
        <w:t xml:space="preserve">We do not own or operate manufacturing facilities. We currently rely on third-party manufacturers and suppliers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intranasal epinephrine technology product candidates, and we expect to continue to do so to meet our nonclinical, clinical and commercial activities. Our third-party manufacturers are required to manufacture our product under cGMP requirements and other applicable laws and regulations.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ALK Collaboration Agreement</w:t>
      </w:r>
    </w:p>
    <w:p>
      <w:pPr>
        <w:spacing w:after="0" w:line="101"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 xml:space="preserve">In November 2024, the Company entered into a collaboration, license and distribution agreement (the “ALK Collaboration Agreement”) with ALK. Pursuant to the ALK Collaboration Agreement, the Company granted to ALK a worldwide (other than the United States, Japan, mainland China, Hong Kong, Taiwan, Macau, Australia and New Zealand) (“ALK Territory”), exclusive license under certain of the Company’s patents and know-how to develop, manufacture and commercialize products containing epinephrine administered intranasally, including </w:t>
      </w:r>
      <w:r>
        <w:rPr>
          <w:rFonts w:ascii="Times New Roman" w:cs="Times New Roman" w:eastAsia="Times New Roman" w:hAnsi="Times New Roman"/>
          <w:sz w:val="14"/>
          <w:szCs w:val="14"/>
          <w:i w:val="1"/>
          <w:iCs w:val="1"/>
          <w:color w:val="auto"/>
        </w:rPr>
        <w:t>EURneffy</w:t>
      </w:r>
      <w:r>
        <w:rPr>
          <w:rFonts w:ascii="Times New Roman" w:cs="Times New Roman" w:eastAsia="Times New Roman" w:hAnsi="Times New Roman"/>
          <w:sz w:val="14"/>
          <w:szCs w:val="14"/>
          <w:color w:val="auto"/>
        </w:rPr>
        <w:t xml:space="preserve"> (the tradename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2 mg in the European Union) (“Products”), for all human uses, including the immediate or emergency treatment of allergic reactions (including Type I) and anaphylaxis and urticaria, and other future indications as agreed by the parties. If the Company develops any new intranasally administered product that contains epinephrine and files a new drug application in the United States for such product (“New Product”), upon ALK’s request such New Product will be included as a Product under the ALK Collaboration Agreement, subject to ALK bearing the costs of development of such New Product for its licensed territory.</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36" w:name="page37"/>
    <w:bookmarkEnd w:id="36"/>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auto"/>
        </w:rPr>
        <w:t>Under the ALK Collaboration Agreement, we are obligated to transfer to ALK the existing marketing authorizations for the Products in ALK’s territory. We are also required to conduct certain development and regulatory activities for Products in support of obtaining further regulatory approval of Products in ALK’s territory, and will transfer such regulatory approvals to ALK. ALK is obligated to use commercially reasonable efforts to obtain and maintain regulatory approval for Products through the European Commission and within specified countries within ALK’s territory. Following such approval for a Product in each indication within specified countries within ALK’s territory, ALK is obligated to use commercially reasonable efforts to commercialize such Product in such indication in such countries and to achieve first commercial sale of a Product in certain countries in accordance with a timeline specified in the ALK Collaboration Agreement.</w:t>
      </w:r>
    </w:p>
    <w:p>
      <w:pPr>
        <w:spacing w:after="0" w:line="146"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Under the ALK Collaboration Agreement, ALK made an upfront payment to us of $145.0 million in November 2024. We are eligible to receive regulatory and commercialization milestones of up to $20.0 million and sales-based milestones of up to $300.0 million, provided that $55.0 million of such sales-based milestones are contingent upon us obtaining regulatory approval for the Product in Canada by a specified time. We are entitled to receive tiered royalty payments on net sales in the mid- to high-teens, subject to certain standard reductions and offsets. Royalties will be payable, on a Product-by-Product and country-by-country basis, until the latest of the expiration of the licensed patents covering such Product in such country, 15 years from first commercial sale of such Product in such country, or expiration of regulatory exclusivity for such Product in such country.</w:t>
      </w:r>
    </w:p>
    <w:p>
      <w:pPr>
        <w:spacing w:after="0" w:line="144"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 contract will expire upon the expiration of the last to expire royalty term for all Products in the ALK Territory, unless terminated earlier. Either we or ALK may terminate the ALK Collaboration Agreement in the case of the other party’s insolvency or in the event of an uncured material breach of the other party, except that we may not terminate the ALK Collaboration Agreement for ALK’s material breach of its commercial diligence obligations. ALK may terminate the ALK Collaboration Agreement for convenience upon 12 months’ prior written notice or for a safety or regulatory concern. We may terminate the ALK Collaboration Agreement in the event ALK makes certain challenges to certain of our patents. Prior to a change of control and outside of a set period of time after which we commence change of control negotiations, we may terminate the ALK Collaboration Agreement with respect to all countries in the European Economic Area (“EEA”) upon prior written notice to ALK and payment of a termination fee that is the higher of an agreed mid-nine digit amount and the fair market value of the Products business in the EEA at the time of such termination. Except with respect to ALK’s activities pursuant to and in accordance with the ALK Co-Promotion Agreement (as defined below), we may also terminate the ALK Collaboration Agreement if ALK commercializes a non-injectable epinephrine product or manufactures such a product in the United States.</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ALK Supply Agreement</w:t>
      </w:r>
    </w:p>
    <w:p>
      <w:pPr>
        <w:spacing w:after="0" w:line="101"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In November 2024, in connection with the ALK Collaboration Agreement, ARS and ALK also entered into a commercial supply agreement (the “ALK Supply Agreement”), under which ARS will supply ALK’s requirements (and ALK will purchase from ARS its requirements) of Products for five years for a specified supply price, after which ALK may elect to transition to itself or its contract manufacturer the manufacture and supply of Products. Either the Company or ALK may terminate the ALK Supply Agreement in the event of an uncured material breach of the other party.</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ALK Co-Promotion Agreement</w:t>
      </w:r>
    </w:p>
    <w:p>
      <w:pPr>
        <w:spacing w:after="0" w:line="101"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 xml:space="preserve">In May 2025, the Company and ALK U.S. entered into a co-promotion agreement (the “ALK Co-Promotion Agreement”) to co-promote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to up to 9,000 specified pediatricians and other prescribers in the U.S. Accordingly, we granted ALK U.S. a non-exclusive, royalty-free license to use the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trademarks and copyrights and the ARS house marks in the U.S. solely in connection with promoting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pursuant to the terms of the ALK Co-Promotion Agreement.</w:t>
      </w:r>
    </w:p>
    <w:p>
      <w:pPr>
        <w:spacing w:after="0" w:line="140" w:lineRule="exact"/>
        <w:rPr>
          <w:sz w:val="20"/>
          <w:szCs w:val="20"/>
          <w:color w:val="auto"/>
        </w:rPr>
      </w:pPr>
    </w:p>
    <w:p>
      <w:pPr>
        <w:ind w:left="640" w:right="1079" w:firstLine="351"/>
        <w:spacing w:after="0" w:line="268" w:lineRule="auto"/>
        <w:rPr>
          <w:sz w:val="20"/>
          <w:szCs w:val="20"/>
          <w:color w:val="auto"/>
        </w:rPr>
      </w:pPr>
      <w:r>
        <w:rPr>
          <w:rFonts w:ascii="Times New Roman" w:cs="Times New Roman" w:eastAsia="Times New Roman" w:hAnsi="Times New Roman"/>
          <w:sz w:val="14"/>
          <w:szCs w:val="14"/>
          <w:color w:val="auto"/>
        </w:rPr>
        <w:t>Under the ALK Co-Promotion Agreement, ALK U.S. is obligated to start its promotion activities in May 2025 and meet specified ramp-up milestones and minimum detail requirements, using sales representatives that meet specific qualifications. In addition, during the term of the ALK Co-Promotion Agreement and for 180 days thereafter, ALK U.S. will not market, sell or manufacture any injection product containing epinephrine in the U.S.</w:t>
      </w:r>
    </w:p>
    <w:p>
      <w:pPr>
        <w:spacing w:after="0" w:line="138" w:lineRule="exact"/>
        <w:rPr>
          <w:sz w:val="20"/>
          <w:szCs w:val="20"/>
          <w:color w:val="auto"/>
        </w:rPr>
      </w:pPr>
    </w:p>
    <w:p>
      <w:pPr>
        <w:ind w:left="640" w:right="699" w:firstLine="351"/>
        <w:spacing w:after="0" w:line="275" w:lineRule="auto"/>
        <w:rPr>
          <w:sz w:val="20"/>
          <w:szCs w:val="20"/>
          <w:color w:val="auto"/>
        </w:rPr>
      </w:pPr>
      <w:r>
        <w:rPr>
          <w:rFonts w:ascii="Times New Roman" w:cs="Times New Roman" w:eastAsia="Times New Roman" w:hAnsi="Times New Roman"/>
          <w:sz w:val="14"/>
          <w:szCs w:val="14"/>
          <w:color w:val="auto"/>
        </w:rPr>
        <w:t xml:space="preserve">We will book all sales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the U.S. and, subject to the terms of the ALK Co-Promotion Agreement, continue to have sole responsibility for all U.S. commercialization activities, including marketing, medical affairs, market access, production, distribution, pharmacovigilance, quality and safety.</w:t>
      </w:r>
    </w:p>
    <w:p>
      <w:pPr>
        <w:spacing w:after="0" w:line="136"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 xml:space="preserve">We will pay ALK U.S. a base fee to compensate ALK U.S. for its promotion activities. Payments for the first year of the partnership will be deferred and paid in the second year of the partnership. In addition to the base fee, ALK U.S. will be eligible to receive performance-based bonus payments from us starting in the second year of the partnership equal to 30% of the portion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net sales generated from the ALK U.S.-targeted prescribers in excess of a specified initial market share threshold in year two or a 50% market share threshold during years three and four of the partnership.</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37" w:name="page38"/>
    <w:bookmarkEnd w:id="37"/>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auto"/>
        </w:rPr>
        <w:t>The ALK Co-Promotion Agreement expires on the fourth anniversary of the commencement of promotion activities thereunder. Either party may terminate the ALK Co-Promotion Agreement in the event of an uncured material breach of the other party or for either party’s change of control. We may terminate the ALK Co-Promotion Agreement in the case of ALK U.S.’s insolvency, if ALK U.S. fails to meet specified ramp-up timelines, or if ALK U.S. markets, sells or commercializes any non-injection product containing epinephrine in the U.S. After the first six months, we may terminate the ALK Co-Promotion Agreement if minimum detail requirements are not met for a consecutive three-month period. After the first year, we may terminate the ALK Co-Promotion agreement for any reason or no reason for a fee (as described below). After the first year, ALK U.S. may terminate the ALK Co-Promotion Agreement for any reason or no reason, and we may terminate the agreement in the event ALK U.S. restructures its sales force.</w:t>
      </w:r>
    </w:p>
    <w:p>
      <w:pPr>
        <w:spacing w:after="0" w:line="318"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 xml:space="preserve">Upon termination of the ALK Co-Promotion Agreement by us for convenience, so long as ALK U.S. has met specified performance thresholds during the term, we are obligated to pay ALK U.S. a specified mid-to-low double-digit percentage of the portion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net sales generated from the ALK U.S.-targeted prescribers in excess of a specified mid-quartile market share threshold that increases over time up to 50% for a specified period after termination, which period decreases in duration the later that the termination occurs. Upon termination of the ALK Co-Promotion Agreement by us in connection with a change of control of the Company, we are obligated to pay ALK U.S. a one-time mid-seven digit to low eight-digit termination fee in an amount that increases the later that the termination occurs.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Financial Overview</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99" w:lineRule="exact"/>
        <w:rPr>
          <w:sz w:val="20"/>
          <w:szCs w:val="20"/>
          <w:color w:val="auto"/>
        </w:rPr>
      </w:pPr>
    </w:p>
    <w:p>
      <w:pPr>
        <w:ind w:left="640" w:right="719" w:firstLine="351"/>
        <w:spacing w:after="0" w:line="261" w:lineRule="auto"/>
        <w:rPr>
          <w:sz w:val="20"/>
          <w:szCs w:val="20"/>
          <w:color w:val="auto"/>
        </w:rPr>
      </w:pPr>
      <w:r>
        <w:rPr>
          <w:rFonts w:ascii="Times New Roman" w:cs="Times New Roman" w:eastAsia="Times New Roman" w:hAnsi="Times New Roman"/>
          <w:sz w:val="14"/>
          <w:szCs w:val="14"/>
          <w:color w:val="auto"/>
        </w:rPr>
        <w:t xml:space="preserve">We have recognized limited net product sales in the United States since the commercial launch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September 2024. We have signed collaboration and license agreements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for all geographies outside of the United States. The terms of these agreements may include payment to us of one or more of the following: non-refundable, upfront license fees; clinical, regulatory, and/or commercial milestone payments; clinical development fees; and royalties or a transfer price on net sales of licensed products if </w:t>
      </w:r>
      <w:r>
        <w:rPr>
          <w:rFonts w:ascii="Times New Roman" w:cs="Times New Roman" w:eastAsia="Times New Roman" w:hAnsi="Times New Roman"/>
          <w:sz w:val="14"/>
          <w:szCs w:val="14"/>
          <w:i w:val="1"/>
          <w:iCs w:val="1"/>
          <w:color w:val="auto"/>
        </w:rPr>
        <w:t xml:space="preserve">neffy </w:t>
      </w:r>
      <w:r>
        <w:rPr>
          <w:rFonts w:ascii="Times New Roman" w:cs="Times New Roman" w:eastAsia="Times New Roman" w:hAnsi="Times New Roman"/>
          <w:sz w:val="14"/>
          <w:szCs w:val="14"/>
          <w:color w:val="auto"/>
        </w:rPr>
        <w:t>receives marketing approval in these regions. We expect product revenues to fluctuate in future periods as we continue with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commercial launch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We expect revenues under collaboration agreements to fluctuate in future periods based on our ability to meet various regulatory milestones, and contingent on successfully obtaining regulatory approval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the licensed regions, commercial milestones, royalties or transfer price earned from our partner’s net sales and the supply of commercial product as set forth in the agreements described earlier.</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Cost of Goods Sold</w:t>
      </w:r>
    </w:p>
    <w:p>
      <w:pPr>
        <w:spacing w:after="0" w:line="99" w:lineRule="exact"/>
        <w:rPr>
          <w:sz w:val="20"/>
          <w:szCs w:val="20"/>
          <w:color w:val="auto"/>
        </w:rPr>
      </w:pPr>
    </w:p>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auto"/>
        </w:rPr>
        <w:t xml:space="preserve">Cost of goods sold consists primarily of direct and indirect costs related to the manufacture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for commercial sale, including salaries and related expenses for personnel, stock-based compensation, third-party manufacturing costs, raw material and component costs, packaging services, freight, storage costs, distribution fees, amortization of capitalized in-licensed costs, and royalties on product sales. Prior to the FDA approval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August 2024, costs incurred for the manufacture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were recorded as research and development expenses, which resulted in zero-cost inventory. As a result, the cost of goods sold related to </w:t>
      </w:r>
      <w:r>
        <w:rPr>
          <w:rFonts w:ascii="Times New Roman" w:cs="Times New Roman" w:eastAsia="Times New Roman" w:hAnsi="Times New Roman"/>
          <w:sz w:val="14"/>
          <w:szCs w:val="14"/>
          <w:i w:val="1"/>
          <w:iCs w:val="1"/>
          <w:color w:val="auto"/>
        </w:rPr>
        <w:t xml:space="preserve">neffy </w:t>
      </w:r>
      <w:r>
        <w:rPr>
          <w:rFonts w:ascii="Times New Roman" w:cs="Times New Roman" w:eastAsia="Times New Roman" w:hAnsi="Times New Roman"/>
          <w:sz w:val="14"/>
          <w:szCs w:val="14"/>
          <w:color w:val="auto"/>
        </w:rPr>
        <w:t>will initially reflect a lower average per unit cost of materials, as previously expensed zero-cost inventory is utilized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commercial production and sold to customers. We expect the cost of goods sold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to increase in relation to product revenues as we deplete these inventories. As of March 31, 2025, we had $10.9 million in zero-cost inventory remaining and based on our current forecast, we expect zero-cost inventory to be depleted by mid-2026.</w:t>
      </w:r>
    </w:p>
    <w:p>
      <w:pPr>
        <w:spacing w:after="0" w:line="145" w:lineRule="exact"/>
        <w:rPr>
          <w:sz w:val="20"/>
          <w:szCs w:val="20"/>
          <w:color w:val="auto"/>
        </w:rPr>
      </w:pPr>
    </w:p>
    <w:p>
      <w:pPr>
        <w:ind w:left="640" w:right="899" w:firstLine="351"/>
        <w:spacing w:after="0" w:line="274" w:lineRule="auto"/>
        <w:rPr>
          <w:sz w:val="20"/>
          <w:szCs w:val="20"/>
          <w:color w:val="auto"/>
        </w:rPr>
      </w:pPr>
      <w:r>
        <w:rPr>
          <w:rFonts w:ascii="Times New Roman" w:cs="Times New Roman" w:eastAsia="Times New Roman" w:hAnsi="Times New Roman"/>
          <w:sz w:val="14"/>
          <w:szCs w:val="14"/>
          <w:color w:val="auto"/>
        </w:rPr>
        <w:t>The Company periodically evaluates zero-cost inventory for obsolescence. This evaluation considers the shelf life of raw materials, work in process, and finished goods as well as estimated sales trends. As of March 31, 2025, no zero-cost inventory was determined to be obsolete.</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01"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 xml:space="preserve">To date, our research and development expenses have been related primarily to clinical development, process development, and manufacturing costs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intranasal epinephrine technology product candidates. Research and development expenses are recognized as incurred and payments made prior to the receipt of goods or services to be used in research and development are capitalized until the goods or services are received.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38" w:name="page39"/>
    <w:bookmarkEnd w:id="38"/>
    <w:p>
      <w:pPr>
        <w:ind w:left="980"/>
        <w:spacing w:after="0"/>
        <w:rPr>
          <w:sz w:val="20"/>
          <w:szCs w:val="20"/>
          <w:color w:val="auto"/>
        </w:rPr>
      </w:pPr>
      <w:r>
        <w:rPr>
          <w:rFonts w:ascii="Times New Roman" w:cs="Times New Roman" w:eastAsia="Times New Roman" w:hAnsi="Times New Roman"/>
          <w:sz w:val="14"/>
          <w:szCs w:val="14"/>
          <w:color w:val="auto"/>
        </w:rPr>
        <w:t>Research and development expenses include:</w:t>
      </w:r>
    </w:p>
    <w:p>
      <w:pPr>
        <w:spacing w:after="0" w:line="97" w:lineRule="exact"/>
        <w:rPr>
          <w:sz w:val="20"/>
          <w:szCs w:val="20"/>
          <w:color w:val="auto"/>
        </w:rPr>
      </w:pPr>
    </w:p>
    <w:p>
      <w:pPr>
        <w:ind w:left="1340" w:right="679" w:hanging="352"/>
        <w:spacing w:after="0" w:line="292" w:lineRule="auto"/>
        <w:tabs>
          <w:tab w:leader="none" w:pos="1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salaries, payroll taxes, benefits and stock-based compensation charges for personnel engaged in research and development efforts;</w:t>
      </w:r>
    </w:p>
    <w:p>
      <w:pPr>
        <w:spacing w:after="0" w:line="37" w:lineRule="exact"/>
        <w:rPr>
          <w:rFonts w:ascii="Times New Roman" w:cs="Times New Roman" w:eastAsia="Times New Roman" w:hAnsi="Times New Roman"/>
          <w:sz w:val="14"/>
          <w:szCs w:val="14"/>
          <w:color w:val="auto"/>
        </w:rPr>
      </w:pPr>
    </w:p>
    <w:p>
      <w:pPr>
        <w:ind w:left="1340" w:right="819" w:hanging="352"/>
        <w:spacing w:after="0" w:line="274" w:lineRule="auto"/>
        <w:tabs>
          <w:tab w:leader="none" w:pos="1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research and development expenses incurred under agreements with contract research organizations (“CROs”), investigative sites and consultants and other third-party organizations to conduct our clinical studies and development activities;</w:t>
      </w:r>
    </w:p>
    <w:p>
      <w:pPr>
        <w:spacing w:after="0" w:line="48" w:lineRule="exact"/>
        <w:rPr>
          <w:rFonts w:ascii="Times New Roman" w:cs="Times New Roman" w:eastAsia="Times New Roman" w:hAnsi="Times New Roman"/>
          <w:sz w:val="14"/>
          <w:szCs w:val="14"/>
          <w:color w:val="auto"/>
        </w:rPr>
      </w:pPr>
    </w:p>
    <w:p>
      <w:pPr>
        <w:ind w:left="1340" w:right="859" w:hanging="352"/>
        <w:spacing w:after="0" w:line="295" w:lineRule="auto"/>
        <w:tabs>
          <w:tab w:leader="none" w:pos="1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costs related to manufacturing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intranasal epinephrine technology product candidates for clinical trials and process validation studies, including fees paid to third-party manufacturers;</w:t>
      </w:r>
    </w:p>
    <w:p>
      <w:pPr>
        <w:spacing w:after="0" w:line="35"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compliance with regulatory requirements and regulatory filings;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indirect expenses including insurance and facility-related expenses.</w:t>
      </w:r>
    </w:p>
    <w:p>
      <w:pPr>
        <w:spacing w:after="0" w:line="181" w:lineRule="exact"/>
        <w:rPr>
          <w:sz w:val="20"/>
          <w:szCs w:val="20"/>
          <w:color w:val="auto"/>
        </w:rPr>
      </w:pPr>
    </w:p>
    <w:p>
      <w:pPr>
        <w:ind w:left="640" w:right="719" w:firstLine="351"/>
        <w:spacing w:after="0" w:line="266" w:lineRule="auto"/>
        <w:rPr>
          <w:sz w:val="20"/>
          <w:szCs w:val="20"/>
          <w:color w:val="auto"/>
        </w:rPr>
      </w:pPr>
      <w:r>
        <w:rPr>
          <w:rFonts w:ascii="Times New Roman" w:cs="Times New Roman" w:eastAsia="Times New Roman" w:hAnsi="Times New Roman"/>
          <w:sz w:val="14"/>
          <w:szCs w:val="14"/>
          <w:color w:val="auto"/>
        </w:rPr>
        <w:t xml:space="preserve">Our external research and development expenses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intranasal epinephrine technology product candidates consist primarily of fees, materials and other costs paid to CROs, CMOs, consultant and contractors. Our clinical, regulatory, manufacturing, and non-clinical development costs for the periods presented below reflect an allocation of expenses associated with personnel costs, stock-based compensation expense, and indirect costs incurred in support of overall research and development, such as facilities-related costs.</w:t>
      </w:r>
    </w:p>
    <w:p>
      <w:pPr>
        <w:spacing w:after="0" w:line="141" w:lineRule="exact"/>
        <w:rPr>
          <w:sz w:val="20"/>
          <w:szCs w:val="20"/>
          <w:color w:val="auto"/>
        </w:rPr>
      </w:pPr>
    </w:p>
    <w:p>
      <w:pPr>
        <w:ind w:left="640" w:right="719" w:firstLine="351"/>
        <w:spacing w:after="0" w:line="262" w:lineRule="auto"/>
        <w:rPr>
          <w:sz w:val="20"/>
          <w:szCs w:val="20"/>
          <w:color w:val="auto"/>
        </w:rPr>
      </w:pPr>
      <w:r>
        <w:rPr>
          <w:rFonts w:ascii="Times New Roman" w:cs="Times New Roman" w:eastAsia="Times New Roman" w:hAnsi="Times New Roman"/>
          <w:sz w:val="14"/>
          <w:szCs w:val="14"/>
          <w:color w:val="auto"/>
        </w:rPr>
        <w:t xml:space="preserve">We expect our research and development expenses to remain relatively consistent in 2025 based on our planned clinical development and manufacturing activities. We cannot determine with certainty the timing of initiation, the duration or the completion costs of current or future clinical trials and the manufacturing costs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intranasal epinephrine technology product candidates due to the inherently unpredictable nature of clinical development and manufacturing activities. Clinical development and manufacturing timelines, the probability of success and development costs can differ materially from expectations. In addition, we cannot forecast to what degree our licensing, supply and distribution arrangements would affect our development plans and capital requirements.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39" w:name="page40"/>
    <w:bookmarkEnd w:id="39"/>
    <w:p>
      <w:pPr>
        <w:ind w:left="640" w:right="939" w:firstLine="351"/>
        <w:spacing w:after="0" w:line="295" w:lineRule="auto"/>
        <w:rPr>
          <w:sz w:val="20"/>
          <w:szCs w:val="20"/>
          <w:color w:val="auto"/>
        </w:rPr>
      </w:pPr>
      <w:r>
        <w:rPr>
          <w:rFonts w:ascii="Times New Roman" w:cs="Times New Roman" w:eastAsia="Times New Roman" w:hAnsi="Times New Roman"/>
          <w:sz w:val="14"/>
          <w:szCs w:val="14"/>
          <w:color w:val="auto"/>
        </w:rPr>
        <w:t xml:space="preserve">The duration, costs and timing of clinical trials and development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intranasal epinephrine technology product candidates for the treatment of additional indications will depend on a variety of factors that include:</w:t>
      </w:r>
    </w:p>
    <w:p>
      <w:pPr>
        <w:spacing w:after="0" w:line="36" w:lineRule="exact"/>
        <w:rPr>
          <w:sz w:val="20"/>
          <w:szCs w:val="20"/>
          <w:color w:val="auto"/>
        </w:rPr>
      </w:pPr>
    </w:p>
    <w:p>
      <w:pPr>
        <w:ind w:left="1340" w:hanging="352"/>
        <w:spacing w:after="0"/>
        <w:tabs>
          <w:tab w:leader="none" w:pos="1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patient trial costs;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patients that participate in the trials;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sites included in the trials;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countries in which the trials are conducted;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tariffs and international trade relations;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length of time required to enroll eligible patients;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doses that patients receive;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drop-out or discontinuation rates of patients;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additional safety monitoring or other studies requested by regulatory agencies;</w:t>
      </w:r>
    </w:p>
    <w:p>
      <w:pPr>
        <w:spacing w:after="0" w:line="94"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efficacy and safety profile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and future intranasal epinephrine technology product candidates;</w:t>
      </w:r>
    </w:p>
    <w:p>
      <w:pPr>
        <w:spacing w:after="0" w:line="98" w:lineRule="exact"/>
        <w:rPr>
          <w:rFonts w:ascii="Times New Roman" w:cs="Times New Roman" w:eastAsia="Times New Roman" w:hAnsi="Times New Roman"/>
          <w:sz w:val="14"/>
          <w:szCs w:val="14"/>
          <w:color w:val="auto"/>
        </w:rPr>
      </w:pPr>
    </w:p>
    <w:p>
      <w:pPr>
        <w:ind w:left="1340" w:right="639" w:hanging="352"/>
        <w:spacing w:after="0" w:line="292" w:lineRule="auto"/>
        <w:tabs>
          <w:tab w:leader="none" w:pos="1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to seek regulatory approvals for our intranasal epinephrine technology product candidates in additional indications and any product candidates that successfully complete clinical trials;</w:t>
      </w:r>
    </w:p>
    <w:p>
      <w:pPr>
        <w:spacing w:after="0" w:line="37" w:lineRule="exact"/>
        <w:rPr>
          <w:rFonts w:ascii="Times New Roman" w:cs="Times New Roman" w:eastAsia="Times New Roman" w:hAnsi="Times New Roman"/>
          <w:sz w:val="14"/>
          <w:szCs w:val="14"/>
          <w:color w:val="auto"/>
        </w:rPr>
      </w:pPr>
    </w:p>
    <w:p>
      <w:pPr>
        <w:ind w:left="1340" w:right="899" w:hanging="352"/>
        <w:spacing w:after="0" w:line="292" w:lineRule="auto"/>
        <w:tabs>
          <w:tab w:leader="none" w:pos="1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receipt, and terms of any approvals from applicable regulatory authorities including the FDA and non-U.S. regulators;</w:t>
      </w:r>
    </w:p>
    <w:p>
      <w:pPr>
        <w:spacing w:after="0" w:line="35"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maintaining a continued acceptable safety profile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intranasal epinephrine technology product candidates;</w:t>
      </w:r>
    </w:p>
    <w:p>
      <w:pPr>
        <w:spacing w:after="0" w:line="98" w:lineRule="exact"/>
        <w:rPr>
          <w:rFonts w:ascii="Times New Roman" w:cs="Times New Roman" w:eastAsia="Times New Roman" w:hAnsi="Times New Roman"/>
          <w:sz w:val="14"/>
          <w:szCs w:val="14"/>
          <w:color w:val="auto"/>
        </w:rPr>
      </w:pPr>
    </w:p>
    <w:p>
      <w:pPr>
        <w:ind w:left="1340" w:right="1259" w:hanging="352"/>
        <w:spacing w:after="0" w:line="292" w:lineRule="auto"/>
        <w:tabs>
          <w:tab w:leader="none" w:pos="1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or maintaining commercial manufacturing capabilities or making arrangements with third-party manufacturers in order to ensure that we or our third-party manufacturers are able to make product successfully;</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and changing government regulation and regulatory guidance;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business interruptions to our operations or to those of the third parties with whom we work;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establish additional strategic collaborations or other arrangements.</w:t>
      </w:r>
    </w:p>
    <w:p>
      <w:pPr>
        <w:spacing w:after="0" w:line="181" w:lineRule="exact"/>
        <w:rPr>
          <w:sz w:val="20"/>
          <w:szCs w:val="20"/>
          <w:color w:val="auto"/>
        </w:rPr>
      </w:pPr>
    </w:p>
    <w:p>
      <w:pPr>
        <w:ind w:left="640" w:right="699" w:firstLine="351"/>
        <w:spacing w:after="0" w:line="264" w:lineRule="auto"/>
        <w:rPr>
          <w:sz w:val="20"/>
          <w:szCs w:val="20"/>
          <w:color w:val="auto"/>
        </w:rPr>
      </w:pPr>
      <w:r>
        <w:rPr>
          <w:rFonts w:ascii="Times New Roman" w:cs="Times New Roman" w:eastAsia="Times New Roman" w:hAnsi="Times New Roman"/>
          <w:sz w:val="14"/>
          <w:szCs w:val="14"/>
          <w:color w:val="auto"/>
        </w:rPr>
        <w:t xml:space="preserve">A change in the outcome of any of these variables with respect to the development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intranasal epinephrine technology product candidates could significantly change the costs and timing associated with the development of that future product candidate. The process of conducting the necessary clinical research and manufacturing to obtain regulatory approval is costly and time-consuming. The actual probability of success for any future candidates may be affected by a variety of factors. Further, a number of factors, including those outside of our control, could adversely impact the timing and duration of our product’s or any future candidates’ development, which could increase our research and development expenses.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01" w:lineRule="exact"/>
        <w:rPr>
          <w:sz w:val="20"/>
          <w:szCs w:val="20"/>
          <w:color w:val="auto"/>
        </w:rPr>
      </w:pPr>
    </w:p>
    <w:p>
      <w:pPr>
        <w:ind w:left="640" w:right="819" w:firstLine="351"/>
        <w:spacing w:after="0" w:line="265" w:lineRule="auto"/>
        <w:rPr>
          <w:sz w:val="20"/>
          <w:szCs w:val="20"/>
          <w:color w:val="auto"/>
        </w:rPr>
      </w:pPr>
      <w:r>
        <w:rPr>
          <w:rFonts w:ascii="Times New Roman" w:cs="Times New Roman" w:eastAsia="Times New Roman" w:hAnsi="Times New Roman"/>
          <w:sz w:val="14"/>
          <w:szCs w:val="14"/>
          <w:color w:val="auto"/>
        </w:rPr>
        <w:t>Selling, general and administrative expenses consist primarily of salaries, benefits, stock-based compensation for personnel in executive, finance, business development, sales and marketing and other corporate administrative functions. Selling, general and administrative expenses also include pre-commercial launch activities prior to product launch, the initiation of commercialization activities in September 2024, legal fees incurred relating to corporate and patent matters, professional fees incurred for accounting, auditing, tax and administrative consulting services, and insurance costs.</w:t>
      </w:r>
    </w:p>
    <w:p>
      <w:pPr>
        <w:spacing w:after="0" w:line="142" w:lineRule="exact"/>
        <w:rPr>
          <w:sz w:val="20"/>
          <w:szCs w:val="20"/>
          <w:color w:val="auto"/>
        </w:rPr>
      </w:pPr>
    </w:p>
    <w:p>
      <w:pPr>
        <w:ind w:left="640" w:right="739" w:firstLine="351"/>
        <w:spacing w:after="0" w:line="262" w:lineRule="auto"/>
        <w:rPr>
          <w:sz w:val="20"/>
          <w:szCs w:val="20"/>
          <w:color w:val="auto"/>
        </w:rPr>
      </w:pPr>
      <w:r>
        <w:rPr>
          <w:rFonts w:ascii="Times New Roman" w:cs="Times New Roman" w:eastAsia="Times New Roman" w:hAnsi="Times New Roman"/>
          <w:sz w:val="14"/>
          <w:szCs w:val="14"/>
          <w:color w:val="auto"/>
        </w:rPr>
        <w:t>We expect our selling, general and administrative expenses to increase substantially in 2025. The increase in expenses is due to our sales force which was established in the third quarter of 2024, the development and commencement of our marketing campaigns and initiatives, the ALK Co-Promotion Agreement, the hiring of additional sales and marketing personnel to support full commercialization activities, and the addition of infrastructure and programs to support commercialization activities. We expect to continue to incur audit, legal, regulatory and tax-related services associated with maintaining compliance with exchange listing and SEC requirements, director and officer insurance premiums, board of director fees, investor relations costs associated with operating as a public company, patent costs and defense, and general and administrative personnel.</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3" w:right="1440" w:bottom="1440" w:gutter="0" w:footer="0" w:header="0"/>
        </w:sectPr>
      </w:pPr>
    </w:p>
    <w:bookmarkStart w:id="40" w:name="page41"/>
    <w:bookmarkEnd w:id="40"/>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101" w:lineRule="exact"/>
        <w:rPr>
          <w:sz w:val="20"/>
          <w:szCs w:val="20"/>
          <w:color w:val="auto"/>
        </w:rPr>
      </w:pPr>
    </w:p>
    <w:p>
      <w:pPr>
        <w:ind w:left="640" w:right="919" w:firstLine="351"/>
        <w:spacing w:after="0" w:line="292" w:lineRule="auto"/>
        <w:rPr>
          <w:sz w:val="20"/>
          <w:szCs w:val="20"/>
          <w:color w:val="auto"/>
        </w:rPr>
      </w:pPr>
      <w:r>
        <w:rPr>
          <w:rFonts w:ascii="Times New Roman" w:cs="Times New Roman" w:eastAsia="Times New Roman" w:hAnsi="Times New Roman"/>
          <w:sz w:val="14"/>
          <w:szCs w:val="14"/>
          <w:color w:val="auto"/>
        </w:rPr>
        <w:t>Other income, net consists primarily of interest income from our cash, cash equivalents, and short-term investments, and net amortization and accretion associated with our short-term investments.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March 31, 2025 and 2024</w:t>
      </w:r>
    </w:p>
    <w:p>
      <w:pPr>
        <w:spacing w:after="0" w:line="101" w:lineRule="exact"/>
        <w:rPr>
          <w:sz w:val="20"/>
          <w:szCs w:val="20"/>
          <w:color w:val="auto"/>
        </w:rPr>
      </w:pPr>
    </w:p>
    <w:p>
      <w:pPr>
        <w:ind w:left="640" w:right="83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 summarizes our results of operations for the three months ended March 31, 2025 and 2024 (in thousands, except percentages):</w:t>
      </w:r>
    </w:p>
    <w:p>
      <w:pPr>
        <w:spacing w:after="0" w:line="33"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5"/>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40" w:type="dxa"/>
            <w:vAlign w:val="bottom"/>
          </w:tcPr>
          <w:p>
            <w:pPr>
              <w:spacing w:after="0"/>
              <w:rPr>
                <w:sz w:val="11"/>
                <w:szCs w:val="11"/>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Dollar</w:t>
            </w: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ind w:right="23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right"/>
              <w:ind w:right="360"/>
              <w:spacing w:after="0" w:line="109" w:lineRule="exact"/>
              <w:rPr>
                <w:sz w:val="20"/>
                <w:szCs w:val="20"/>
                <w:color w:val="auto"/>
              </w:rPr>
            </w:pPr>
            <w:r>
              <w:rPr>
                <w:rFonts w:ascii="Times New Roman" w:cs="Times New Roman" w:eastAsia="Times New Roman" w:hAnsi="Times New Roman"/>
                <w:sz w:val="11"/>
                <w:szCs w:val="11"/>
                <w:b w:val="1"/>
                <w:bCs w:val="1"/>
                <w:color w:val="auto"/>
              </w:rPr>
              <w:t>Change</w:t>
            </w:r>
          </w:p>
        </w:tc>
        <w:tc>
          <w:tcPr>
            <w:tcW w:w="1000" w:type="dxa"/>
            <w:vAlign w:val="bottom"/>
            <w:gridSpan w:val="2"/>
          </w:tcPr>
          <w:p>
            <w:pPr>
              <w:jc w:val="right"/>
              <w:ind w:right="420"/>
              <w:spacing w:after="0" w:line="109" w:lineRule="exact"/>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8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 revenue, net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7,763</w:t>
            </w:r>
          </w:p>
        </w:tc>
        <w:tc>
          <w:tcPr>
            <w:tcW w:w="160" w:type="dxa"/>
            <w:vAlign w:val="bottom"/>
          </w:tcPr>
          <w:p>
            <w:pPr>
              <w:spacing w:after="0"/>
              <w:rPr>
                <w:sz w:val="14"/>
                <w:szCs w:val="14"/>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7,763</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Revenue under collaboration agreements</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7,973</w:t>
            </w: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7,973</w:t>
            </w:r>
          </w:p>
        </w:tc>
        <w:tc>
          <w:tcPr>
            <w:tcW w:w="16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goods sold</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shd w:val="clear" w:color="auto" w:fill="CFF0FC"/>
          </w:tcPr>
          <w:p>
            <w:pPr>
              <w:ind w:left="120"/>
              <w:spacing w:after="0" w:line="172" w:lineRule="exact"/>
              <w:rPr>
                <w:sz w:val="20"/>
                <w:szCs w:val="20"/>
                <w:color w:val="auto"/>
              </w:rPr>
            </w:pPr>
            <w:r>
              <w:rPr>
                <w:rFonts w:ascii="Times New Roman" w:cs="Times New Roman" w:eastAsia="Times New Roman" w:hAnsi="Times New Roman"/>
                <w:sz w:val="14"/>
                <w:szCs w:val="14"/>
                <w:color w:val="auto"/>
              </w:rPr>
              <w:t>Research and development</w:t>
            </w:r>
            <w:r>
              <w:rPr>
                <w:rFonts w:ascii="Times New Roman" w:cs="Times New Roman" w:eastAsia="Times New Roman" w:hAnsi="Times New Roman"/>
                <w:sz w:val="19"/>
                <w:szCs w:val="19"/>
                <w:color w:val="auto"/>
                <w:vertAlign w:val="superscript"/>
              </w:rPr>
              <w:t>(1)</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2,952</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(2,282)</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tcPr>
          <w:p>
            <w:pPr>
              <w:ind w:left="120"/>
              <w:spacing w:after="0" w:line="172" w:lineRule="exact"/>
              <w:rPr>
                <w:sz w:val="20"/>
                <w:szCs w:val="20"/>
                <w:color w:val="auto"/>
              </w:rPr>
            </w:pPr>
            <w:r>
              <w:rPr>
                <w:rFonts w:ascii="Times New Roman" w:cs="Times New Roman" w:eastAsia="Times New Roman" w:hAnsi="Times New Roman"/>
                <w:sz w:val="14"/>
                <w:szCs w:val="14"/>
                <w:color w:val="auto"/>
              </w:rPr>
              <w:t>Selling, general and administrative</w:t>
            </w:r>
            <w:r>
              <w:rPr>
                <w:rFonts w:ascii="Times New Roman" w:cs="Times New Roman" w:eastAsia="Times New Roman" w:hAnsi="Times New Roman"/>
                <w:sz w:val="19"/>
                <w:szCs w:val="19"/>
                <w:color w:val="auto"/>
                <w:vertAlign w:val="superscript"/>
              </w:rPr>
              <w:t>(1)</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41,104</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7,958</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33,146</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45,150</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13,192</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31,958</w:t>
            </w: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(37,177)</w:t>
            </w:r>
          </w:p>
        </w:tc>
        <w:tc>
          <w:tcPr>
            <w:tcW w:w="1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(13,192)</w:t>
            </w:r>
          </w:p>
        </w:tc>
        <w:tc>
          <w:tcPr>
            <w:tcW w:w="1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(23,985)</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(33,940)</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(10,292)</w:t>
            </w:r>
          </w:p>
        </w:tc>
        <w:tc>
          <w:tcPr>
            <w:tcW w:w="1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(23,648)</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388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4"/>
                <w:szCs w:val="14"/>
                <w:color w:val="auto"/>
              </w:rPr>
              <w:t>Change in unrealized gains and losses on available-for-sale</w:t>
            </w:r>
          </w:p>
        </w:tc>
        <w:tc>
          <w:tcPr>
            <w:tcW w:w="8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(148)</w:t>
            </w:r>
          </w:p>
        </w:tc>
        <w:tc>
          <w:tcPr>
            <w:tcW w:w="16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(173)</w:t>
            </w:r>
          </w:p>
        </w:tc>
        <w:tc>
          <w:tcPr>
            <w:tcW w:w="14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securities</w:t>
            </w:r>
          </w:p>
        </w:tc>
        <w:tc>
          <w:tcPr>
            <w:tcW w:w="80" w:type="dxa"/>
            <w:vAlign w:val="bottom"/>
            <w:shd w:val="clear" w:color="auto" w:fill="CFF0FC"/>
          </w:tcPr>
          <w:p>
            <w:pPr>
              <w:spacing w:after="0"/>
              <w:rPr>
                <w:sz w:val="15"/>
                <w:szCs w:val="15"/>
                <w:color w:val="auto"/>
              </w:rPr>
            </w:pPr>
          </w:p>
        </w:tc>
        <w:tc>
          <w:tcPr>
            <w:tcW w:w="880" w:type="dxa"/>
            <w:vAlign w:val="bottom"/>
            <w:tcBorders>
              <w:right w:val="single" w:sz="8" w:color="CFF0FC"/>
            </w:tcBorders>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(34,088)</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(10,465)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(23,623)</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______________</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900" w:type="dxa"/>
            <w:vAlign w:val="bottom"/>
            <w:gridSpan w:val="2"/>
          </w:tcPr>
          <w:p>
            <w:pPr>
              <w:spacing w:after="0" w:line="193"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Not meaningful</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-927100</wp:posOffset>
            </wp:positionV>
            <wp:extent cx="4762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-927100</wp:posOffset>
            </wp:positionV>
            <wp:extent cx="4762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-927100</wp:posOffset>
            </wp:positionV>
            <wp:extent cx="4762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-927100</wp:posOffset>
            </wp:positionV>
            <wp:extent cx="11620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-695325</wp:posOffset>
            </wp:positionV>
            <wp:extent cx="4762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-695325</wp:posOffset>
            </wp:positionV>
            <wp:extent cx="4762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-695325</wp:posOffset>
            </wp:positionV>
            <wp:extent cx="4762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-695325</wp:posOffset>
            </wp:positionV>
            <wp:extent cx="11620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-361315</wp:posOffset>
            </wp:positionV>
            <wp:extent cx="4762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-361315</wp:posOffset>
            </wp:positionV>
            <wp:extent cx="4762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-361315</wp:posOffset>
            </wp:positionV>
            <wp:extent cx="4762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-361315</wp:posOffset>
            </wp:positionV>
            <wp:extent cx="11620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6205" cy="6985"/>
                    </a:xfrm>
                    <a:prstGeom prst="rect">
                      <a:avLst/>
                    </a:prstGeom>
                    <a:noFill/>
                  </pic:spPr>
                </pic:pic>
              </a:graphicData>
            </a:graphic>
          </wp:anchor>
        </w:drawing>
      </w:r>
    </w:p>
    <w:p>
      <w:pPr>
        <w:ind w:left="780" w:hanging="142"/>
        <w:spacing w:after="0" w:line="210" w:lineRule="auto"/>
        <w:tabs>
          <w:tab w:leader="none" w:pos="78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stock-based compensation expense as follows (in thousands):</w:t>
      </w:r>
    </w:p>
    <w:p>
      <w:pPr>
        <w:spacing w:after="0" w:line="6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5320" w:type="dxa"/>
            <w:vAlign w:val="bottom"/>
          </w:tcPr>
          <w:p>
            <w:pPr>
              <w:spacing w:after="0"/>
              <w:rPr>
                <w:sz w:val="11"/>
                <w:szCs w:val="11"/>
                <w:color w:val="auto"/>
              </w:rPr>
            </w:pPr>
          </w:p>
        </w:tc>
        <w:tc>
          <w:tcPr>
            <w:tcW w:w="1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5320" w:type="dxa"/>
            <w:vAlign w:val="bottom"/>
          </w:tcPr>
          <w:p>
            <w:pPr>
              <w:spacing w:after="0"/>
              <w:rPr>
                <w:sz w:val="9"/>
                <w:szCs w:val="9"/>
                <w:color w:val="auto"/>
              </w:rPr>
            </w:pPr>
          </w:p>
        </w:tc>
        <w:tc>
          <w:tcPr>
            <w:tcW w:w="68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auto"/>
            </w:tcBorders>
          </w:tcPr>
          <w:p>
            <w:pPr>
              <w:jc w:val="right"/>
              <w:ind w:right="16"/>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6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680" w:type="dxa"/>
            <w:vAlign w:val="bottom"/>
            <w:shd w:val="clear" w:color="auto" w:fill="CFF0FC"/>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920" w:type="dxa"/>
            <w:vAlign w:val="bottom"/>
            <w:gridSpan w:val="2"/>
            <w:shd w:val="clear" w:color="auto" w:fill="CFF0FC"/>
          </w:tcPr>
          <w:p>
            <w:pPr>
              <w:jc w:val="right"/>
              <w:ind w:right="576"/>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4,635</w:t>
            </w:r>
          </w:p>
        </w:tc>
        <w:tc>
          <w:tcPr>
            <w:tcW w:w="2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80" w:type="dxa"/>
            <w:vAlign w:val="bottom"/>
          </w:tcPr>
          <w:p>
            <w:pPr>
              <w:spacing w:after="0"/>
              <w:rPr>
                <w:sz w:val="14"/>
                <w:szCs w:val="14"/>
                <w:color w:val="auto"/>
              </w:rPr>
            </w:pPr>
          </w:p>
        </w:tc>
      </w:tr>
      <w:tr>
        <w:trPr>
          <w:trHeight w:val="203"/>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680" w:type="dxa"/>
            <w:vAlign w:val="bottom"/>
            <w:tcBorders>
              <w:bottom w:val="single" w:sz="8" w:color="auto"/>
            </w:tcBorders>
            <w:shd w:val="clear" w:color="auto" w:fill="CFF0FC"/>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5,298</w:t>
            </w:r>
          </w:p>
        </w:tc>
        <w:tc>
          <w:tcPr>
            <w:tcW w:w="20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576"/>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3,315</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4762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-6350</wp:posOffset>
            </wp:positionV>
            <wp:extent cx="4762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5" w:lineRule="exact"/>
        <w:rPr>
          <w:sz w:val="20"/>
          <w:szCs w:val="20"/>
          <w:color w:val="auto"/>
        </w:rPr>
      </w:pPr>
    </w:p>
    <w:p>
      <w:pPr>
        <w:jc w:val="both"/>
        <w:ind w:left="640" w:right="719" w:firstLine="351"/>
        <w:spacing w:after="0" w:line="275" w:lineRule="auto"/>
        <w:rPr>
          <w:sz w:val="20"/>
          <w:szCs w:val="20"/>
          <w:color w:val="auto"/>
        </w:rPr>
      </w:pPr>
      <w:r>
        <w:rPr>
          <w:rFonts w:ascii="Times New Roman" w:cs="Times New Roman" w:eastAsia="Times New Roman" w:hAnsi="Times New Roman"/>
          <w:sz w:val="14"/>
          <w:szCs w:val="14"/>
          <w:i w:val="1"/>
          <w:iCs w:val="1"/>
          <w:color w:val="auto"/>
        </w:rPr>
        <w:t>Revenues</w:t>
      </w:r>
      <w:r>
        <w:rPr>
          <w:rFonts w:ascii="Times New Roman" w:cs="Times New Roman" w:eastAsia="Times New Roman" w:hAnsi="Times New Roman"/>
          <w:sz w:val="14"/>
          <w:szCs w:val="14"/>
          <w:color w:val="auto"/>
        </w:rPr>
        <w:t>. Revenue for the three months ended March 31, 2025 was $8.0 million, as compared to $0 for the three months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March 31, 2024. Revenue for the three months ended March 31, 2025 includes $7.8 million in net product revenues for sales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$0.2 million in revenue for regulatory services performance obligations under the ALK Collaboration Agreement.</w:t>
      </w:r>
    </w:p>
    <w:p>
      <w:pPr>
        <w:spacing w:after="0" w:line="134" w:lineRule="exact"/>
        <w:rPr>
          <w:sz w:val="20"/>
          <w:szCs w:val="20"/>
          <w:color w:val="auto"/>
        </w:rPr>
      </w:pPr>
    </w:p>
    <w:p>
      <w:pPr>
        <w:ind w:left="640" w:right="679" w:firstLine="351"/>
        <w:spacing w:after="0" w:line="269" w:lineRule="auto"/>
        <w:rPr>
          <w:sz w:val="20"/>
          <w:szCs w:val="20"/>
          <w:color w:val="auto"/>
        </w:rPr>
      </w:pPr>
      <w:r>
        <w:rPr>
          <w:rFonts w:ascii="Times New Roman" w:cs="Times New Roman" w:eastAsia="Times New Roman" w:hAnsi="Times New Roman"/>
          <w:sz w:val="14"/>
          <w:szCs w:val="14"/>
          <w:i w:val="1"/>
          <w:iCs w:val="1"/>
          <w:color w:val="auto"/>
        </w:rPr>
        <w:t>Cost of Goods Sold</w:t>
      </w:r>
      <w:r>
        <w:rPr>
          <w:rFonts w:ascii="Times New Roman" w:cs="Times New Roman" w:eastAsia="Times New Roman" w:hAnsi="Times New Roman"/>
          <w:sz w:val="14"/>
          <w:szCs w:val="14"/>
          <w:color w:val="auto"/>
        </w:rPr>
        <w:t>. Cost of goods sold for the three months ended March 31, 2025 was $1.1 million, as compared to $0 for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three months ended March 31, 2024. Since prior to August 2024, costs incurred for the manufacture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were recorded as research and development expenses, product sales for the three months ended March 31, 2025 utilized zero-cost inventory and therefore consisted primarily of distribution fees, royalties, and intangible asset amortization.</w:t>
      </w:r>
    </w:p>
    <w:p>
      <w:pPr>
        <w:spacing w:after="0" w:line="137" w:lineRule="exact"/>
        <w:rPr>
          <w:sz w:val="20"/>
          <w:szCs w:val="20"/>
          <w:color w:val="auto"/>
        </w:rPr>
      </w:pPr>
    </w:p>
    <w:p>
      <w:pPr>
        <w:ind w:left="640" w:right="659" w:firstLine="351"/>
        <w:spacing w:after="0" w:line="269" w:lineRule="auto"/>
        <w:rPr>
          <w:sz w:val="20"/>
          <w:szCs w:val="20"/>
          <w:color w:val="auto"/>
        </w:rPr>
      </w:pPr>
      <w:r>
        <w:rPr>
          <w:rFonts w:ascii="Times New Roman" w:cs="Times New Roman" w:eastAsia="Times New Roman" w:hAnsi="Times New Roman"/>
          <w:sz w:val="14"/>
          <w:szCs w:val="14"/>
          <w:i w:val="1"/>
          <w:iCs w:val="1"/>
          <w:color w:val="auto"/>
        </w:rPr>
        <w:t>Research and Development Expenses</w:t>
      </w:r>
      <w:r>
        <w:rPr>
          <w:rFonts w:ascii="Times New Roman" w:cs="Times New Roman" w:eastAsia="Times New Roman" w:hAnsi="Times New Roman"/>
          <w:sz w:val="14"/>
          <w:szCs w:val="14"/>
          <w:color w:val="auto"/>
        </w:rPr>
        <w:t>. Research and development expenses for the three months ended March 31, 2025 was $3.0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as compared to $5.2 million for the three months ended March 31, 2024. The decrease of $2.3 million was primarily due to decreases in CRO-related expenses of $1.6 million, personnel-related expenses of $0.4 million, stock-based compensation expense of $0.2 million, and consulting expense of $0.1 million.</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41" w:name="page42"/>
    <w:bookmarkEnd w:id="41"/>
    <w:p>
      <w:pPr>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 summarizes our research and development expenses for the three months ended March 31, 2025 and 2024 (in thousands):</w:t>
      </w:r>
    </w:p>
    <w:p>
      <w:pPr>
        <w:spacing w:after="0" w:line="33"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5320" w:type="dxa"/>
            <w:vAlign w:val="bottom"/>
          </w:tcPr>
          <w:p>
            <w:pPr>
              <w:spacing w:after="0"/>
              <w:rPr>
                <w:sz w:val="11"/>
                <w:szCs w:val="11"/>
                <w:color w:val="auto"/>
              </w:rPr>
            </w:pPr>
          </w:p>
        </w:tc>
        <w:tc>
          <w:tcPr>
            <w:tcW w:w="1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5320" w:type="dxa"/>
            <w:vAlign w:val="bottom"/>
          </w:tcPr>
          <w:p>
            <w:pPr>
              <w:spacing w:after="0"/>
              <w:rPr>
                <w:sz w:val="9"/>
                <w:szCs w:val="9"/>
                <w:color w:val="auto"/>
              </w:rPr>
            </w:pPr>
          </w:p>
        </w:tc>
        <w:tc>
          <w:tcPr>
            <w:tcW w:w="68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auto"/>
            </w:tcBorders>
          </w:tcPr>
          <w:p>
            <w:pPr>
              <w:jc w:val="right"/>
              <w:ind w:right="16"/>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6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Clinical and regulatory</w:t>
            </w:r>
          </w:p>
        </w:tc>
        <w:tc>
          <w:tcPr>
            <w:tcW w:w="680" w:type="dxa"/>
            <w:vAlign w:val="bottom"/>
            <w:shd w:val="clear" w:color="auto" w:fill="CFF0FC"/>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920" w:type="dxa"/>
            <w:vAlign w:val="bottom"/>
            <w:gridSpan w:val="2"/>
            <w:shd w:val="clear" w:color="auto" w:fill="CFF0FC"/>
          </w:tcPr>
          <w:p>
            <w:pPr>
              <w:jc w:val="right"/>
              <w:ind w:right="576"/>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3,415</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Manufacturing and non-clinical development</w:t>
            </w: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2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80" w:type="dxa"/>
            <w:vAlign w:val="bottom"/>
          </w:tcPr>
          <w:p>
            <w:pPr>
              <w:spacing w:after="0"/>
              <w:rPr>
                <w:sz w:val="14"/>
                <w:szCs w:val="14"/>
                <w:color w:val="auto"/>
              </w:rPr>
            </w:pPr>
          </w:p>
        </w:tc>
      </w:tr>
      <w:tr>
        <w:trPr>
          <w:trHeight w:val="203"/>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680" w:type="dxa"/>
            <w:vAlign w:val="bottom"/>
            <w:tcBorders>
              <w:bottom w:val="single" w:sz="8" w:color="auto"/>
            </w:tcBorders>
            <w:shd w:val="clear" w:color="auto" w:fill="CFF0FC"/>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2,952</w:t>
            </w:r>
          </w:p>
        </w:tc>
        <w:tc>
          <w:tcPr>
            <w:tcW w:w="20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576"/>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4762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-6350</wp:posOffset>
            </wp:positionV>
            <wp:extent cx="4762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5" w:lineRule="exact"/>
        <w:rPr>
          <w:sz w:val="20"/>
          <w:szCs w:val="20"/>
          <w:color w:val="auto"/>
        </w:rPr>
      </w:pPr>
    </w:p>
    <w:p>
      <w:pPr>
        <w:ind w:left="640" w:right="679" w:firstLine="351"/>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Selling, General and Administrative Expenses. </w:t>
      </w:r>
      <w:r>
        <w:rPr>
          <w:rFonts w:ascii="Times New Roman" w:cs="Times New Roman" w:eastAsia="Times New Roman" w:hAnsi="Times New Roman"/>
          <w:sz w:val="14"/>
          <w:szCs w:val="14"/>
          <w:color w:val="auto"/>
        </w:rPr>
        <w:t>Selling, general and administrative expenses for the three months ended March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31, 2025 was $41.1 million, as compared to $8.0 million for the three months ended March 31, 2024. The increase of $33.1 million was primarily due to increases in marketing-related expenses of $17.5 million, personnel-related expenses of $9.0 million, stock-based compensation expense of $2.2 million, travel and meals expense of $1.5 million incurred by our sales personnel, outside services and consulting fees of $0.9 million, audit, tax and valuation fees of $0.7 million, conference and seminar expense of $0.5 million, legal fees of $0.5 million and other operating expense of $0.3 million.</w:t>
      </w:r>
    </w:p>
    <w:p>
      <w:pPr>
        <w:spacing w:after="0" w:line="140" w:lineRule="exact"/>
        <w:rPr>
          <w:sz w:val="20"/>
          <w:szCs w:val="20"/>
          <w:color w:val="auto"/>
        </w:rPr>
      </w:pPr>
    </w:p>
    <w:p>
      <w:pPr>
        <w:jc w:val="both"/>
        <w:ind w:left="640" w:right="679" w:firstLine="351"/>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Other Income, Net. </w:t>
      </w:r>
      <w:r>
        <w:rPr>
          <w:rFonts w:ascii="Times New Roman" w:cs="Times New Roman" w:eastAsia="Times New Roman" w:hAnsi="Times New Roman"/>
          <w:sz w:val="14"/>
          <w:szCs w:val="14"/>
          <w:color w:val="auto"/>
        </w:rPr>
        <w:t>Other income, net for the three months ended March 31, 2025 was $3.2 million, as compared to $2.9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the three months ended March 31, 2024. The increase of $0.3 million was primarily due to an increase in interest income from our cash, cash equivalents, and short-term investments.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 and Capital</w:t>
      </w:r>
    </w:p>
    <w:p>
      <w:pPr>
        <w:spacing w:after="0" w:line="101" w:lineRule="exact"/>
        <w:rPr>
          <w:sz w:val="20"/>
          <w:szCs w:val="20"/>
          <w:color w:val="auto"/>
        </w:rPr>
      </w:pPr>
    </w:p>
    <w:p>
      <w:pPr>
        <w:ind w:left="640" w:right="779" w:firstLine="351"/>
        <w:spacing w:after="0" w:line="265" w:lineRule="auto"/>
        <w:rPr>
          <w:sz w:val="20"/>
          <w:szCs w:val="20"/>
          <w:color w:val="auto"/>
        </w:rPr>
      </w:pPr>
      <w:r>
        <w:rPr>
          <w:rFonts w:ascii="Times New Roman" w:cs="Times New Roman" w:eastAsia="Times New Roman" w:hAnsi="Times New Roman"/>
          <w:sz w:val="14"/>
          <w:szCs w:val="14"/>
          <w:color w:val="auto"/>
        </w:rPr>
        <w:t xml:space="preserve">Since our inception, we have incurred significant operating losses and negative cash flows from our operations. We have recognized limited net product sales since the commercial launch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September 2024. We have funded our operations to date primarily with proceeds from the Merger, private placement of convertible preferred stock, issuance of common stock, licensing, supply and distribution arrangements with our commercialization partners, bank debt, and limited net product sales. As of March 31, 2025, we had cash, cash equivalents, and short-term investments of $275.7 million.</w:t>
      </w:r>
    </w:p>
    <w:p>
      <w:pPr>
        <w:spacing w:after="0" w:line="2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summarizes our cash flows for the three months ended March 31, 2025 and 2024 (in thousands):</w:t>
      </w:r>
    </w:p>
    <w:p>
      <w:pPr>
        <w:spacing w:after="0" w:line="92"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5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0" w:type="dxa"/>
            <w:vAlign w:val="bottom"/>
            <w:gridSpan w:val="6"/>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09"/>
        </w:trPr>
        <w:tc>
          <w:tcPr>
            <w:tcW w:w="5320" w:type="dxa"/>
            <w:vAlign w:val="bottom"/>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5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7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r>
      <w:tr>
        <w:trPr>
          <w:trHeight w:val="16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and cash equivalents used in operating activities</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(40,742)</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(6,710)</w:t>
            </w: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Net cash and cash equivalents provided by (used in) investing activities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(8,513)</w:t>
            </w:r>
          </w:p>
        </w:tc>
      </w:tr>
      <w:tr>
        <w:trPr>
          <w:trHeight w:val="172"/>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and cash equivalents provided by financing activities</w:t>
            </w: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(10,953)</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(14,965)</w:t>
            </w:r>
          </w:p>
        </w:tc>
      </w:tr>
      <w:tr>
        <w:trPr>
          <w:trHeight w:val="20"/>
        </w:trPr>
        <w:tc>
          <w:tcPr>
            <w:tcW w:w="5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-135890</wp:posOffset>
            </wp:positionV>
            <wp:extent cx="4762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9"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During the three months ended March 31, 2025, net cash used in operating activities was $40.7 million. This consisted primarily of a net loss of $33.9 million, an increase in our operating assets of $14.4 million, an increase in our operating liabilities of $4.0 million, and non-cash charges of $3.6 million. The increase in our operating assets was due to increases in inventories of $8.4 million, prepaid expenses and other assets of $4.8 million, and accounts receivable of $1.1 million. The increase in our operating liabilities was due to an increase in accounts payable and accrued expenses of $4.2 million, partially offset by a decrease in contract liability of $0.2 million. The non-cash charges consisted primarily of non-cash stock-based compensation of $5.3 million and depreciation and amortization expense of $0.3 million, partially offset by $2.0 million in net accretion of discounts on short-term investments.</w:t>
      </w:r>
    </w:p>
    <w:p>
      <w:pPr>
        <w:spacing w:after="0" w:line="59"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During the three months ended March 31, 2024, net cash used in operating activities was $6.7 million. This consisted primarily of a net loss of $10.3 million, an increase in our operating liabilities of $1.3 million, a decrease in our operating assets of $0.9 million, and non-cash charges of $1.3 million. The increase in our operating liabilities was primarily due to an increase in accounts payable and accrued liabilities of $1.3 million. The decrease in our operating assets was primarily due to a decrease in prepaid and other assets of $0.9 million. The non-cash charges consisted of non-cash stock-based compensation of $3.3 million, partially offset by $2.0 million in net accretion of discounts on short-term investments.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42" w:name="page43"/>
    <w:bookmarkEnd w:id="42"/>
    <w:p>
      <w:pPr>
        <w:ind w:left="64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9" w:lineRule="exact"/>
        <w:rPr>
          <w:sz w:val="20"/>
          <w:szCs w:val="20"/>
          <w:color w:val="auto"/>
        </w:rPr>
      </w:pPr>
    </w:p>
    <w:p>
      <w:pPr>
        <w:ind w:left="640" w:right="779" w:firstLine="351"/>
        <w:spacing w:after="0" w:line="263" w:lineRule="auto"/>
        <w:rPr>
          <w:sz w:val="20"/>
          <w:szCs w:val="20"/>
          <w:color w:val="auto"/>
        </w:rPr>
      </w:pPr>
      <w:r>
        <w:rPr>
          <w:rFonts w:ascii="Times New Roman" w:cs="Times New Roman" w:eastAsia="Times New Roman" w:hAnsi="Times New Roman"/>
          <w:sz w:val="14"/>
          <w:szCs w:val="14"/>
          <w:color w:val="auto"/>
        </w:rPr>
        <w:t>During the three months ended March 31, 2025, the cash and cash equivalents provided by investing activities was $29.1 million. This consisted of maturities of short-term investments of $63.5 million, partially offset by purchases of short-term investments of $34.3 million and purchases of property and equipment of $0.1 million. During the three months ended March 31, 2024, the cash and cash equivalents used in investing activities was $8.5 million. This consisted primarily of purchases of short-term investments of $63.4 million, and purchases of property and equipment of $0.1 million, partially offset by maturities of short-term investments of $55.0 million.</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9" w:lineRule="exact"/>
        <w:rPr>
          <w:sz w:val="20"/>
          <w:szCs w:val="20"/>
          <w:color w:val="auto"/>
        </w:rPr>
      </w:pPr>
    </w:p>
    <w:p>
      <w:pPr>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During the three months ended March 31, 2025, the $0.7 million of cash and cash equivalents provided by financing activities was attributable to proceeds from stock option exercises. During the three months ended March 31, 2024, the $0.3 million of cash and cash equivalents provided by financing activities was attributable to proceeds from stock option exercises.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Future Funding Requirements</w:t>
      </w:r>
    </w:p>
    <w:p>
      <w:pPr>
        <w:spacing w:after="0" w:line="101"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 xml:space="preserve">Based on our current operating plan, we believe that our existing cash, cash equivalents, short-term investments, and revenues from product sales and cash proceeds from collaboration and out-licensing agreements will be sufficient to meet our anticipated cash requirements through at least the next three years. In particular, we expect our existing cash, cash equivalents, short-term investments, and revenues from net product sales and cash proceeds from collaboration and out-licensing agreements will allow us to fund commercial manufacturing and sales and marketing activities, general operating activities and working capital requirements, and proof of concept clinical trials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for additional indications.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product candidates in clinical trials is costly, and the timing of progress and expenses in these trials is uncertain.</w:t>
      </w:r>
    </w:p>
    <w:p>
      <w:pPr>
        <w:spacing w:after="0" w:line="1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Our future funding requirements will depend on many factors, including:</w:t>
      </w:r>
    </w:p>
    <w:p>
      <w:pPr>
        <w:spacing w:after="0" w:line="97" w:lineRule="exact"/>
        <w:rPr>
          <w:sz w:val="20"/>
          <w:szCs w:val="20"/>
          <w:color w:val="auto"/>
        </w:rPr>
      </w:pPr>
    </w:p>
    <w:p>
      <w:pPr>
        <w:ind w:left="1340" w:right="799" w:hanging="352"/>
        <w:spacing w:after="0" w:line="292"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progress, results and costs of researching and developing our intranasal epinephrine technology for additional indications;</w:t>
      </w:r>
    </w:p>
    <w:p>
      <w:pPr>
        <w:spacing w:after="0" w:line="35" w:lineRule="exact"/>
        <w:rPr>
          <w:rFonts w:ascii="Times New Roman" w:cs="Times New Roman" w:eastAsia="Times New Roman" w:hAnsi="Times New Roman"/>
          <w:sz w:val="14"/>
          <w:szCs w:val="14"/>
          <w:color w:val="auto"/>
        </w:rPr>
      </w:pPr>
    </w:p>
    <w:p>
      <w:pPr>
        <w:ind w:left="1340" w:right="759" w:hanging="352"/>
        <w:spacing w:after="0" w:line="295"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scope and costs of clinical and commercial manufacturing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intranasal epinephrine technology product candidates;</w:t>
      </w:r>
    </w:p>
    <w:p>
      <w:pPr>
        <w:spacing w:after="0" w:line="35" w:lineRule="exact"/>
        <w:rPr>
          <w:rFonts w:ascii="Times New Roman" w:cs="Times New Roman" w:eastAsia="Times New Roman" w:hAnsi="Times New Roman"/>
          <w:sz w:val="14"/>
          <w:szCs w:val="14"/>
          <w:color w:val="auto"/>
        </w:rPr>
      </w:pPr>
    </w:p>
    <w:p>
      <w:pPr>
        <w:ind w:left="1340" w:right="1019" w:hanging="352"/>
        <w:spacing w:after="0" w:line="292"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and the costs involved in, obtaining marketing approvals for our intranasal epinephrine technology for additional indications;</w:t>
      </w:r>
    </w:p>
    <w:p>
      <w:pPr>
        <w:spacing w:after="0" w:line="37" w:lineRule="exact"/>
        <w:rPr>
          <w:rFonts w:ascii="Times New Roman" w:cs="Times New Roman" w:eastAsia="Times New Roman" w:hAnsi="Times New Roman"/>
          <w:sz w:val="14"/>
          <w:szCs w:val="14"/>
          <w:color w:val="auto"/>
        </w:rPr>
      </w:pPr>
    </w:p>
    <w:p>
      <w:pPr>
        <w:ind w:left="1340" w:right="739" w:hanging="352"/>
        <w:spacing w:after="0" w:line="292"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additional indications for our intranasal epinephrine technology that we may pursue and their development requirements;</w:t>
      </w:r>
    </w:p>
    <w:p>
      <w:pPr>
        <w:spacing w:after="0" w:line="35" w:lineRule="exact"/>
        <w:rPr>
          <w:rFonts w:ascii="Times New Roman" w:cs="Times New Roman" w:eastAsia="Times New Roman" w:hAnsi="Times New Roman"/>
          <w:sz w:val="14"/>
          <w:szCs w:val="14"/>
          <w:color w:val="auto"/>
        </w:rPr>
      </w:pPr>
    </w:p>
    <w:p>
      <w:pPr>
        <w:ind w:left="1340" w:right="899" w:hanging="352"/>
        <w:spacing w:after="0" w:line="275"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costs of commercialization activities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intranasal epinephrine technology product candidates, to the extent such costs are not the responsibility of any collaborators, including the costs and timing of building and maintaining product sales, marketing, distribution and manufacturing capabilities;</w:t>
      </w:r>
    </w:p>
    <w:p>
      <w:pPr>
        <w:spacing w:after="0" w:line="48"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revenue received from commercial sales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w:t>
      </w:r>
    </w:p>
    <w:p>
      <w:pPr>
        <w:spacing w:after="0" w:line="98" w:lineRule="exact"/>
        <w:rPr>
          <w:rFonts w:ascii="Times New Roman" w:cs="Times New Roman" w:eastAsia="Times New Roman" w:hAnsi="Times New Roman"/>
          <w:sz w:val="14"/>
          <w:szCs w:val="14"/>
          <w:color w:val="auto"/>
        </w:rPr>
      </w:pPr>
    </w:p>
    <w:p>
      <w:pPr>
        <w:ind w:left="1340" w:right="819" w:hanging="352"/>
        <w:spacing w:after="0" w:line="274"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amount of any milestone and royalty payments under the ALK Collaboration Agreement, ALK Co-Promotion Agreement, Pediatrix Agreement, Aegis Agreement, Alfresa Agreement, Recordati Termination Agreement, and the Seqirus Agreement;</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in-license or acquire rights to other products, product candidates, or technologies;</w:t>
      </w:r>
    </w:p>
    <w:p>
      <w:pPr>
        <w:spacing w:after="0" w:line="96" w:lineRule="exact"/>
        <w:rPr>
          <w:rFonts w:ascii="Times New Roman" w:cs="Times New Roman" w:eastAsia="Times New Roman" w:hAnsi="Times New Roman"/>
          <w:sz w:val="14"/>
          <w:szCs w:val="14"/>
          <w:color w:val="auto"/>
        </w:rPr>
      </w:pPr>
    </w:p>
    <w:p>
      <w:pPr>
        <w:ind w:left="1340" w:right="1179" w:hanging="352"/>
        <w:spacing w:after="0" w:line="292"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headcount growth and associated costs as we expand our employee headcount and building and maintaining a commercial infrastructure;</w:t>
      </w:r>
    </w:p>
    <w:p>
      <w:pPr>
        <w:spacing w:after="0" w:line="37" w:lineRule="exact"/>
        <w:rPr>
          <w:rFonts w:ascii="Times New Roman" w:cs="Times New Roman" w:eastAsia="Times New Roman" w:hAnsi="Times New Roman"/>
          <w:sz w:val="14"/>
          <w:szCs w:val="14"/>
          <w:color w:val="auto"/>
        </w:rPr>
      </w:pPr>
    </w:p>
    <w:p>
      <w:pPr>
        <w:ind w:left="1340" w:right="939" w:hanging="352"/>
        <w:spacing w:after="0" w:line="292"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preparing, filing, and prosecuting patent applications, maintaining and protecting our intellectual property rights, including enforcing and defending intellectual property related claims; and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operating as a public company.</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3" w:right="1440" w:bottom="1440" w:gutter="0" w:footer="0" w:header="0"/>
        </w:sectPr>
      </w:pPr>
    </w:p>
    <w:bookmarkStart w:id="43" w:name="page44"/>
    <w:bookmarkEnd w:id="43"/>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Until such time, if ever, as we can generate substantial product revenues to support our cost structure, we expect to finance our cash needs through a combination of our existing cash, cash equivalents, short-term investments, equity offerings, debt financings and other capital sources which may include collaborations, strategic alliances, marketing, distribution or licensing arrangements or other arrangements with third parties.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In addition, our current or future debt agreements may limit our ability to incur additional debt. If we raise funds through additional collaborations, or other similar arrangements with third parties, we may have to relinquish valuable rights to our technologies, future revenue streams, development programs or product candidates or grant licenses on terms that may not be favorable to us and/or may reduce the value of our common stock.</w:t>
      </w:r>
    </w:p>
    <w:p>
      <w:pPr>
        <w:spacing w:after="0" w:line="151"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Our ability to raise additional funds may be adversely impacted by macroeconomic factors that may result in worsening global economic conditions and disruptions to and volatility in the global credit and financial markets, including due to tariffs, trade wars, inflation, high interest rates, recessionary concerns, recessions, bank failures, geopolitical conflicts, and general economic uncertainty. Because of the numerous risks and uncertainties associated with product development and commercialization, we cannot predict the timing or amount of increased expenses and cannot assure you that we will generate profits or positive cash flows from operating activities in the future.</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Material Cash Requirements</w:t>
      </w:r>
    </w:p>
    <w:p>
      <w:pPr>
        <w:spacing w:after="0" w:line="99" w:lineRule="exact"/>
        <w:rPr>
          <w:sz w:val="20"/>
          <w:szCs w:val="20"/>
          <w:color w:val="auto"/>
        </w:rPr>
      </w:pPr>
    </w:p>
    <w:p>
      <w:pPr>
        <w:ind w:left="640" w:right="819" w:firstLine="351"/>
        <w:spacing w:after="0" w:line="274" w:lineRule="auto"/>
        <w:rPr>
          <w:sz w:val="20"/>
          <w:szCs w:val="20"/>
          <w:color w:val="auto"/>
        </w:rPr>
      </w:pPr>
      <w:r>
        <w:rPr>
          <w:rFonts w:ascii="Times New Roman" w:cs="Times New Roman" w:eastAsia="Times New Roman" w:hAnsi="Times New Roman"/>
          <w:sz w:val="14"/>
          <w:szCs w:val="14"/>
          <w:color w:val="auto"/>
        </w:rPr>
        <w:t>The total amount of unconditional purchase obligations related to the supply of raw materials is $60.6 million as of March 31, 2025. Our estimated remaining payment obligations by year are as follows: 2025 ($4.0 million), 2026 ($10.5 million), 2027 ($11.8 million), 2028 ($13.8 million), and $2.9 million per year thereafter through 2035.</w:t>
      </w:r>
    </w:p>
    <w:p>
      <w:pPr>
        <w:spacing w:after="0" w:line="136" w:lineRule="exact"/>
        <w:rPr>
          <w:sz w:val="20"/>
          <w:szCs w:val="20"/>
          <w:color w:val="auto"/>
        </w:rPr>
      </w:pPr>
    </w:p>
    <w:p>
      <w:pPr>
        <w:ind w:left="640" w:right="739" w:firstLine="351"/>
        <w:spacing w:after="0" w:line="274" w:lineRule="auto"/>
        <w:rPr>
          <w:sz w:val="20"/>
          <w:szCs w:val="20"/>
          <w:color w:val="auto"/>
        </w:rPr>
      </w:pPr>
      <w:r>
        <w:rPr>
          <w:rFonts w:ascii="Times New Roman" w:cs="Times New Roman" w:eastAsia="Times New Roman" w:hAnsi="Times New Roman"/>
          <w:sz w:val="14"/>
          <w:szCs w:val="14"/>
          <w:color w:val="auto"/>
        </w:rPr>
        <w:t>The total amount of unconditional purchase obligations related to hosted software license subscription fees is $3.0 million as of March 31, 2025. Our estimated remaining payment obligations by year are as follows: 2025 ($1.1 million), 2026 ($1.5 million), and 2027 ($0.4 million).</w:t>
      </w:r>
    </w:p>
    <w:p>
      <w:pPr>
        <w:spacing w:after="0" w:line="136" w:lineRule="exact"/>
        <w:rPr>
          <w:sz w:val="20"/>
          <w:szCs w:val="20"/>
          <w:color w:val="auto"/>
        </w:rPr>
      </w:pPr>
    </w:p>
    <w:p>
      <w:pPr>
        <w:jc w:val="both"/>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In August 2024, we entered into a corporate sponsorship agreement with Food Allergy Research and Education, Inc. pursuant to which we have payment obligations of $9.0 million over a 28-month period. Our remaining payment obligations as of March 31, 2025 are $5.0 million. Our estimated remaining payment obligations by year are as follows: 2025 ($2.0 million), and 2026 ($3.0 million).</w:t>
      </w:r>
    </w:p>
    <w:p>
      <w:pPr>
        <w:spacing w:after="0" w:line="136" w:lineRule="exact"/>
        <w:rPr>
          <w:sz w:val="20"/>
          <w:szCs w:val="20"/>
          <w:color w:val="auto"/>
        </w:rPr>
      </w:pPr>
    </w:p>
    <w:p>
      <w:pPr>
        <w:ind w:left="640" w:right="719" w:firstLine="351"/>
        <w:spacing w:after="0" w:line="262" w:lineRule="auto"/>
        <w:rPr>
          <w:sz w:val="20"/>
          <w:szCs w:val="20"/>
          <w:color w:val="auto"/>
        </w:rPr>
      </w:pPr>
      <w:r>
        <w:rPr>
          <w:rFonts w:ascii="Times New Roman" w:cs="Times New Roman" w:eastAsia="Times New Roman" w:hAnsi="Times New Roman"/>
          <w:sz w:val="14"/>
          <w:szCs w:val="14"/>
          <w:color w:val="auto"/>
        </w:rPr>
        <w:t xml:space="preserve">In June 2018, we entered into a License Agreement (the “Aegis Agreement”) with Aegis Therapeutics, LLC (“Aegis”). In November 2024, OrbiMed Advisors LLC (“OrbiMed”) entered into an agreement with Aegis, to purchase the rights, royalty interests, and related sales milestone payments on net product sales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Our remaining payment obligations to OrbiMed under the Aegis Agreement are contingent upon our achievement of certain commercial milestones and have been reduced to $11.0 million as of March 31, 2025. Under the Aegis Agreement, we are also required to make royalty payments to OrbiMed based on a mid-single-digit percentage of net product sales. Future royalty payment amounts are indeterminate since they depend on future revenues, which are uncertain.</w:t>
      </w:r>
    </w:p>
    <w:p>
      <w:pPr>
        <w:spacing w:after="0" w:line="144" w:lineRule="exact"/>
        <w:rPr>
          <w:sz w:val="20"/>
          <w:szCs w:val="20"/>
          <w:color w:val="auto"/>
        </w:rPr>
      </w:pPr>
    </w:p>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auto"/>
        </w:rPr>
        <w:t xml:space="preserve">In February 2023, we entered into a termination agreement (the “Recordati Termination Agreement”) with Recordati Ireland, Ltd. (“Recordati”) to reacquire the rights to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Europe and certain European Free Trade Association, Russia/the Commonwealth of Independent States, Middle East and African countries (the “Recordati Territory”). Pursuant to which, we are obligated to make milestone payments to Recordati that are contingent upon our achievement of certain regulatory and commercial milestones. Our remaining milestone payment obligations to Recordati have been reduced to €5.0 million (approximately $5.4 million in U.S. dollars) as of March 31, 2025. Under the Recordati Termination Agreement, we are also required to make royalty payments to Recordati of up to €5.0 million (approximately $5.4 million in U.S. dollars) in the aggregate from sales of Recordati Licensed Product(s) in the Recordati Territory. Future royalty payment amounts are indeterminate since they depend on future revenues, which are uncertain.</w:t>
      </w:r>
    </w:p>
    <w:p>
      <w:pPr>
        <w:spacing w:after="0" w:line="146" w:lineRule="exact"/>
        <w:rPr>
          <w:sz w:val="20"/>
          <w:szCs w:val="20"/>
          <w:color w:val="auto"/>
        </w:rPr>
      </w:pPr>
    </w:p>
    <w:p>
      <w:pPr>
        <w:ind w:left="640" w:right="719" w:firstLine="351"/>
        <w:spacing w:after="0" w:line="292" w:lineRule="auto"/>
        <w:rPr>
          <w:sz w:val="20"/>
          <w:szCs w:val="20"/>
          <w:color w:val="auto"/>
        </w:rPr>
      </w:pPr>
      <w:r>
        <w:rPr>
          <w:rFonts w:ascii="Times New Roman" w:cs="Times New Roman" w:eastAsia="Times New Roman" w:hAnsi="Times New Roman"/>
          <w:sz w:val="14"/>
          <w:szCs w:val="14"/>
          <w:color w:val="auto"/>
        </w:rPr>
        <w:t>We enter into contracts in the normal course of business with third-party contract organizations and vendors for clinical studies, manufacturing and other services and products. These contracts generally provide for termination after a notice period.</w:t>
      </w:r>
    </w:p>
    <w:p>
      <w:pPr>
        <w:spacing w:after="0" w:line="124" w:lineRule="exact"/>
        <w:rPr>
          <w:sz w:val="20"/>
          <w:szCs w:val="20"/>
          <w:color w:val="auto"/>
        </w:rPr>
      </w:pPr>
    </w:p>
    <w:p>
      <w:pPr>
        <w:ind w:left="640" w:right="939" w:firstLine="351"/>
        <w:spacing w:after="0" w:line="292" w:lineRule="auto"/>
        <w:rPr>
          <w:sz w:val="20"/>
          <w:szCs w:val="20"/>
          <w:color w:val="auto"/>
        </w:rPr>
      </w:pPr>
      <w:r>
        <w:rPr>
          <w:rFonts w:ascii="Times New Roman" w:cs="Times New Roman" w:eastAsia="Times New Roman" w:hAnsi="Times New Roman"/>
          <w:sz w:val="14"/>
          <w:szCs w:val="14"/>
          <w:color w:val="auto"/>
        </w:rPr>
        <w:t>As of March 31, 2025, we have not recognized any reserves related to uncertain tax positions and had no accrued interest or penalties related to uncertain tax positions.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44" w:name="page45"/>
    <w:bookmarkEnd w:id="44"/>
    <w:p>
      <w:pPr>
        <w:ind w:left="64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99"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Our management’s discussion and analysis of our financial condition and results of operations are based on our financial statements, which have been prepared in accordance with U.S. generally accepted accounting principles (GAAP). The preparation of these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revenue, accrued expenses, stock-based compensation, and valuation allowances for deferred tax assets.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49" w:lineRule="exact"/>
        <w:rPr>
          <w:sz w:val="20"/>
          <w:szCs w:val="20"/>
          <w:color w:val="auto"/>
        </w:rPr>
      </w:pPr>
    </w:p>
    <w:p>
      <w:pPr>
        <w:ind w:left="640" w:right="739" w:firstLine="351"/>
        <w:spacing w:after="0" w:line="265" w:lineRule="auto"/>
        <w:rPr>
          <w:sz w:val="20"/>
          <w:szCs w:val="20"/>
          <w:color w:val="auto"/>
        </w:rPr>
      </w:pPr>
      <w:r>
        <w:rPr>
          <w:rFonts w:ascii="Times New Roman" w:cs="Times New Roman" w:eastAsia="Times New Roman" w:hAnsi="Times New Roman"/>
          <w:sz w:val="14"/>
          <w:szCs w:val="14"/>
          <w:color w:val="auto"/>
        </w:rPr>
        <w:t xml:space="preserve">During the three months ended March 31, 2025, there were no material changes to our critical accounting policies or estimates. Our critical accounting policies and estimates are described under the heading “Management’s Discussion and Analysis of Financial Condition and Results of Operations—Critical Accounting Policies and Significant Judgments and Estimates” in our Annual Report on Form 10-K filed with the SEC on March 20, 2025 and </w:t>
      </w:r>
      <w:r>
        <w:rPr>
          <w:rFonts w:ascii="Times New Roman" w:cs="Times New Roman" w:eastAsia="Times New Roman" w:hAnsi="Times New Roman"/>
          <w:sz w:val="14"/>
          <w:szCs w:val="14"/>
          <w:u w:val="single" w:color="auto"/>
          <w:color w:val="0000FF"/>
        </w:rPr>
        <w:t>Note 2 – Summary of Significant Accounting Policies</w:t>
      </w:r>
      <w:r>
        <w:rPr>
          <w:rFonts w:ascii="Times New Roman" w:cs="Times New Roman" w:eastAsia="Times New Roman" w:hAnsi="Times New Roman"/>
          <w:sz w:val="14"/>
          <w:szCs w:val="14"/>
          <w:color w:val="auto"/>
        </w:rPr>
        <w:t xml:space="preserve"> to our unaudited condensed consolidated financial statements appearing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-138430</wp:posOffset>
            </wp:positionV>
            <wp:extent cx="196659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966595" cy="6985"/>
                    </a:xfrm>
                    <a:prstGeom prst="rect">
                      <a:avLst/>
                    </a:prstGeom>
                    <a:noFill/>
                  </pic:spPr>
                </pic:pic>
              </a:graphicData>
            </a:graphic>
          </wp:anchor>
        </w:drawing>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9" w:lineRule="exact"/>
        <w:rPr>
          <w:sz w:val="20"/>
          <w:szCs w:val="20"/>
          <w:color w:val="auto"/>
        </w:rPr>
      </w:pPr>
    </w:p>
    <w:p>
      <w:pPr>
        <w:ind w:left="640" w:right="1139" w:firstLine="351"/>
        <w:spacing w:after="0" w:line="292" w:lineRule="auto"/>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u w:val="single" w:color="auto"/>
          <w:color w:val="0000FF"/>
        </w:rPr>
        <w:t>Note 2 – Summary of Significant Accounting Policies</w:t>
      </w:r>
      <w:r>
        <w:rPr>
          <w:rFonts w:ascii="Times New Roman" w:cs="Times New Roman" w:eastAsia="Times New Roman" w:hAnsi="Times New Roman"/>
          <w:sz w:val="14"/>
          <w:szCs w:val="14"/>
          <w:color w:val="auto"/>
        </w:rPr>
        <w:t xml:space="preserve"> to our unaudited condensed consolidated financial statements appearing in Part I, Item 1 of this Quarterly Report on Form 10-Q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-149860</wp:posOffset>
            </wp:positionV>
            <wp:extent cx="196659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66595" cy="6985"/>
                    </a:xfrm>
                    <a:prstGeom prst="rect">
                      <a:avLst/>
                    </a:prstGeom>
                    <a:noFill/>
                  </pic:spPr>
                </pic:pic>
              </a:graphicData>
            </a:graphic>
          </wp:anchor>
        </w:drawing>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Emerging Growth Company and Smaller Reporting Company Status</w:t>
      </w:r>
    </w:p>
    <w:p>
      <w:pPr>
        <w:spacing w:after="0" w:line="99" w:lineRule="exact"/>
        <w:rPr>
          <w:sz w:val="20"/>
          <w:szCs w:val="20"/>
          <w:color w:val="auto"/>
        </w:rPr>
      </w:pPr>
    </w:p>
    <w:p>
      <w:pPr>
        <w:ind w:left="640" w:right="719" w:firstLine="351"/>
        <w:spacing w:after="0" w:line="263"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w:t>
      </w:r>
    </w:p>
    <w:p>
      <w:pPr>
        <w:spacing w:after="0" w:line="144"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certain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44" w:lineRule="exact"/>
        <w:rPr>
          <w:sz w:val="20"/>
          <w:szCs w:val="20"/>
          <w:color w:val="auto"/>
        </w:rPr>
      </w:pPr>
    </w:p>
    <w:p>
      <w:pPr>
        <w:ind w:left="640" w:right="699" w:firstLine="351"/>
        <w:spacing w:after="0" w:line="292" w:lineRule="auto"/>
        <w:rPr>
          <w:sz w:val="20"/>
          <w:szCs w:val="20"/>
          <w:color w:val="auto"/>
        </w:rPr>
      </w:pPr>
      <w:r>
        <w:rPr>
          <w:rFonts w:ascii="Times New Roman" w:cs="Times New Roman" w:eastAsia="Times New Roman" w:hAnsi="Times New Roman"/>
          <w:sz w:val="14"/>
          <w:szCs w:val="14"/>
          <w:color w:val="auto"/>
        </w:rPr>
        <w:t>We will remain an emerging growth company until the earlier of: (i) the date on which we have issued more than $1.0 billion in nonconvertible debt securities during the prior three-year period; and (ii) December 31, 2025.</w:t>
      </w:r>
    </w:p>
    <w:p>
      <w:pPr>
        <w:spacing w:after="0" w:line="124"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are also a “smaller reporting company” as defined in the Exchange Act. We may continue to be a smaller reporting company if either (i) the market value of our stock held by non-affiliates is less than $250 million measured on the last business day of our second fiscal quarter or (ii) our annual revenue was less than $100 million during the most recently completed fiscal year for which audited financial statements are available as of the date of determination and the market value of our stock held by non-affiliates is less than $700 million measured on the last business day of our most recently completed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and other matters.</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Not required for a “smaller reporting company” as defined under Item 10(f)(1) of Regulation S-K of the Securities Act.</w:t>
      </w:r>
    </w:p>
    <w:p>
      <w:pPr>
        <w:spacing w:after="0" w:line="9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45" w:name="page46"/>
    <w:bookmarkEnd w:id="45"/>
    <w:p>
      <w:pPr>
        <w:ind w:left="64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9"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As required by Rules 13a-15(b) and 15d-15(b) of the Exchange Act, our management, with the participation of our Chief Executive Officer and our Chief Financial Officer, evaluated the effectiveness of our disclosure controls and procedures as of March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2025, our Chief Executive Officer and our Chief Financial Officer concluded that, as of such date, our disclosure controls and procedures were effective at the reasonable assurance level.</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9" w:lineRule="exact"/>
        <w:rPr>
          <w:sz w:val="20"/>
          <w:szCs w:val="20"/>
          <w:color w:val="auto"/>
        </w:rPr>
      </w:pPr>
    </w:p>
    <w:p>
      <w:pPr>
        <w:ind w:left="640" w:right="859" w:firstLine="351"/>
        <w:spacing w:after="0" w:line="292"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that occurred during the quarter ended March 31, 2025 that have materially affected, or are reasonably likely to materially affect, our internal control over financial reporting.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9" w:lineRule="exact"/>
        <w:rPr>
          <w:sz w:val="20"/>
          <w:szCs w:val="20"/>
          <w:color w:val="auto"/>
        </w:rPr>
      </w:pPr>
    </w:p>
    <w:p>
      <w:pPr>
        <w:jc w:val="both"/>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 xml:space="preserve">From time to time, we may be involved in various claims and legal proceedings relating to claims arising out of our operations. See </w:t>
      </w:r>
      <w:r>
        <w:rPr>
          <w:rFonts w:ascii="Times New Roman" w:cs="Times New Roman" w:eastAsia="Times New Roman" w:hAnsi="Times New Roman"/>
          <w:sz w:val="14"/>
          <w:szCs w:val="14"/>
          <w:u w:val="single" w:color="auto"/>
          <w:color w:val="0000FF"/>
        </w:rPr>
        <w:t>Note 9 – Commitments and Contingencies</w:t>
      </w:r>
      <w:r>
        <w:rPr>
          <w:rFonts w:ascii="Times New Roman" w:cs="Times New Roman" w:eastAsia="Times New Roman" w:hAnsi="Times New Roman"/>
          <w:sz w:val="14"/>
          <w:szCs w:val="14"/>
          <w:color w:val="auto"/>
        </w:rPr>
        <w:t xml:space="preserve"> to the unaudited condensed consolidated financial statements in this Form 10-Q, which is incorporated by reference in this Part II, Item 1, for any required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-142240</wp:posOffset>
            </wp:positionV>
            <wp:extent cx="154749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47495" cy="6985"/>
                    </a:xfrm>
                    <a:prstGeom prst="rect">
                      <a:avLst/>
                    </a:prstGeom>
                    <a:noFill/>
                  </pic:spPr>
                </pic:pic>
              </a:graphicData>
            </a:graphic>
          </wp:anchor>
        </w:drawing>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7"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Quarterly Report on Form 10-Q and our other public filings with the SEC. Other events that we do not currently anticipate or that we currently deem immaterial may also affect our results of operations and financial condition. The risk factors set forth below that are marked with an asterisk (*) did not appear as separate risk factors in, or contain changes to the similarly titled risk factor included in Item 1A. of our Annual Report on Form 10-K, filed with the SEC on March 20, 2025.</w:t>
      </w:r>
    </w:p>
    <w:p>
      <w:pPr>
        <w:spacing w:after="0" w:line="200" w:lineRule="exact"/>
        <w:rPr>
          <w:sz w:val="20"/>
          <w:szCs w:val="20"/>
          <w:color w:val="auto"/>
        </w:rPr>
      </w:pP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95" w:lineRule="exact"/>
        <w:rPr>
          <w:sz w:val="20"/>
          <w:szCs w:val="20"/>
          <w:color w:val="auto"/>
        </w:rPr>
      </w:pPr>
    </w:p>
    <w:p>
      <w:pPr>
        <w:ind w:left="64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are highly dependent on the successful commercialization of neffy in the United States and in the EU for its currently approved indications in those jurisdictions. To the extent neffy is not commercially successful, our business, financial condition and results of operations would be materially adversely affected, and the price of our common stock would likely decline.</w:t>
      </w:r>
    </w:p>
    <w:p>
      <w:pPr>
        <w:spacing w:after="0" w:line="46"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neffy </w:t>
      </w:r>
      <w:r>
        <w:rPr>
          <w:rFonts w:ascii="Times New Roman" w:cs="Times New Roman" w:eastAsia="Times New Roman" w:hAnsi="Times New Roman"/>
          <w:sz w:val="14"/>
          <w:szCs w:val="14"/>
          <w:color w:val="auto"/>
        </w:rPr>
        <w:t>is our only product that has been approved for sale and it has only been approved in the United States for the emergency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treatment of Type I allergic reactions, including anaphylaxis, in patients who are four years of age and older and weigh 15 kg to less than 30 kg (in the case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1 mg), and in adults and children who weigh 30 kg or greater (in the case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2 mg), and in the EU (under the trade name </w:t>
      </w:r>
      <w:r>
        <w:rPr>
          <w:rFonts w:ascii="Times New Roman" w:cs="Times New Roman" w:eastAsia="Times New Roman" w:hAnsi="Times New Roman"/>
          <w:sz w:val="14"/>
          <w:szCs w:val="14"/>
          <w:i w:val="1"/>
          <w:iCs w:val="1"/>
          <w:color w:val="auto"/>
        </w:rPr>
        <w:t>EURneffy</w:t>
      </w:r>
      <w:r>
        <w:rPr>
          <w:rFonts w:ascii="Times New Roman" w:cs="Times New Roman" w:eastAsia="Times New Roman" w:hAnsi="Times New Roman"/>
          <w:sz w:val="14"/>
          <w:szCs w:val="14"/>
          <w:color w:val="auto"/>
        </w:rPr>
        <w:t xml:space="preserve">, and only in the 2 mg form) for the emergency treatment of allergic reactions (anaphylaxis) due to insect stings or bites, foods, medicinal products and other allergens as well as idiopathic or exercise induced anaphylaxis, for adults and children with a body weight 30 kg or greater. We are focusing a significant portion of our activities and resources on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we believe our near-term revenues are highly dependent on, and a meaningful portion of the value of our company relates to, our ability to successfully 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the United States and the EU (under the trade name </w:t>
      </w:r>
      <w:r>
        <w:rPr>
          <w:rFonts w:ascii="Times New Roman" w:cs="Times New Roman" w:eastAsia="Times New Roman" w:hAnsi="Times New Roman"/>
          <w:sz w:val="14"/>
          <w:szCs w:val="14"/>
          <w:i w:val="1"/>
          <w:iCs w:val="1"/>
          <w:color w:val="auto"/>
        </w:rPr>
        <w:t>EURneffy)</w:t>
      </w:r>
      <w:r>
        <w:rPr>
          <w:rFonts w:ascii="Times New Roman" w:cs="Times New Roman" w:eastAsia="Times New Roman" w:hAnsi="Times New Roman"/>
          <w:sz w:val="14"/>
          <w:szCs w:val="14"/>
          <w:color w:val="auto"/>
        </w:rPr>
        <w:t xml:space="preserve">. Successful commercialization of </w:t>
      </w:r>
      <w:r>
        <w:rPr>
          <w:rFonts w:ascii="Times New Roman" w:cs="Times New Roman" w:eastAsia="Times New Roman" w:hAnsi="Times New Roman"/>
          <w:sz w:val="14"/>
          <w:szCs w:val="14"/>
          <w:i w:val="1"/>
          <w:iCs w:val="1"/>
          <w:color w:val="auto"/>
        </w:rPr>
        <w:t xml:space="preserve">neffy </w:t>
      </w:r>
      <w:r>
        <w:rPr>
          <w:rFonts w:ascii="Times New Roman" w:cs="Times New Roman" w:eastAsia="Times New Roman" w:hAnsi="Times New Roman"/>
          <w:sz w:val="14"/>
          <w:szCs w:val="14"/>
          <w:color w:val="auto"/>
        </w:rPr>
        <w:t>is subject to many risks. Prior to</w:t>
      </w:r>
      <w:r>
        <w:rPr>
          <w:rFonts w:ascii="Times New Roman" w:cs="Times New Roman" w:eastAsia="Times New Roman" w:hAnsi="Times New Roman"/>
          <w:sz w:val="14"/>
          <w:szCs w:val="14"/>
          <w:i w:val="1"/>
          <w:iCs w:val="1"/>
          <w:color w:val="auto"/>
        </w:rPr>
        <w:t xml:space="preserve"> neffy</w:t>
      </w:r>
      <w:r>
        <w:rPr>
          <w:rFonts w:ascii="Times New Roman" w:cs="Times New Roman" w:eastAsia="Times New Roman" w:hAnsi="Times New Roman"/>
          <w:sz w:val="14"/>
          <w:szCs w:val="14"/>
          <w:color w:val="auto"/>
        </w:rPr>
        <w:t>, we have not, as an organization, commercialized any product, and there is no guarantee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that we will be able to do so successfully with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There are numerous examples of unsuccessful product launches and failures to meet high expectations of market potential, including by pharmaceutical companies with more experience and resources than we have. The commercial success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depends on the extent to which patients and physicians accept and adopt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as a treatment of Type I allergic reactions, including anaphylaxis, and we do not know whether our or others’ estimates in this regard will be accurate. For example, if the population of patients who may suffer a Type I allergic reaction is smaller than we estimate or if physicians are unwilling to prescribe or patients are unwilling to use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for any reason, the commercial potential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will be limited. It is too soon to tell how physicians, patients and payors will respond to the pricing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Physicians may not prescribe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patients may be unwilling to use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if coverage is not provided or reimbursement is inadequate to cover a significant portion of the cost. Additionally, any negative development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post-approval trials or potential additional indications, including urticaria, or in regulatory processes in other jurisdictions, may adversely impact the commercial results and potential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Thus, significant uncertainty remains regarding the commercial potential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If the commercialization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is unsuccessful or perceived as disappointing, our stock price could decline significantly and the long-term success of the product and our company could be harmed.</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47" w:name="page48"/>
    <w:bookmarkEnd w:id="47"/>
    <w:p>
      <w:pPr>
        <w:ind w:left="640" w:right="13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fully develop and maintain our sales, marketing and distribution capabilities on our own or through collaborations with marketing partners, we may not be successful in commercializing neffy.*</w:t>
      </w:r>
    </w:p>
    <w:p>
      <w:pPr>
        <w:spacing w:after="0" w:line="32" w:lineRule="exact"/>
        <w:rPr>
          <w:sz w:val="20"/>
          <w:szCs w:val="20"/>
          <w:color w:val="auto"/>
        </w:rPr>
      </w:pPr>
    </w:p>
    <w:p>
      <w:pPr>
        <w:ind w:left="640" w:right="659" w:firstLine="351"/>
        <w:spacing w:after="0" w:line="269" w:lineRule="auto"/>
        <w:rPr>
          <w:sz w:val="20"/>
          <w:szCs w:val="20"/>
          <w:color w:val="auto"/>
        </w:rPr>
      </w:pPr>
      <w:r>
        <w:rPr>
          <w:rFonts w:ascii="Times New Roman" w:cs="Times New Roman" w:eastAsia="Times New Roman" w:hAnsi="Times New Roman"/>
          <w:sz w:val="14"/>
          <w:szCs w:val="14"/>
          <w:color w:val="auto"/>
        </w:rPr>
        <w:t xml:space="preserve">We have built a sales force and entered into the ALK Co-Promotion Agreement to 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the United States. In order to successfully 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we must, among other things, continue to build our sales, marketing, distribution, managerial and other non-technical capabilities. Factors that may hinder our ability to successfully market and commercially distribute our products include:</w:t>
      </w:r>
    </w:p>
    <w:p>
      <w:pPr>
        <w:spacing w:after="0" w:line="53" w:lineRule="exact"/>
        <w:rPr>
          <w:sz w:val="20"/>
          <w:szCs w:val="20"/>
          <w:color w:val="auto"/>
        </w:rPr>
      </w:pPr>
    </w:p>
    <w:p>
      <w:pPr>
        <w:ind w:left="1340" w:right="899" w:hanging="352"/>
        <w:spacing w:after="0" w:line="292"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inability of sales personnel to obtain access to or educate adequate numbers of physicians on the benefits and safety of prescribing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recruit, retain and effectively manage adequate numbers of effective sales personnel, including ALK U.S. sales personnel;</w:t>
      </w:r>
    </w:p>
    <w:p>
      <w:pPr>
        <w:spacing w:after="0" w:line="37" w:lineRule="exact"/>
        <w:rPr>
          <w:rFonts w:ascii="Times New Roman" w:cs="Times New Roman" w:eastAsia="Times New Roman" w:hAnsi="Times New Roman"/>
          <w:sz w:val="14"/>
          <w:szCs w:val="14"/>
          <w:color w:val="auto"/>
        </w:rPr>
      </w:pPr>
    </w:p>
    <w:p>
      <w:pPr>
        <w:ind w:left="1340" w:right="699" w:hanging="352"/>
        <w:spacing w:after="0" w:line="292"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complementary products to be offered by sales personnel, which may put us at a competitive disadvantage relative to companies that have more extensive product lines; and</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delays, costs and expenses associated with maintaining our sales organization and receive the intended benefits to be provided by the ALK Co-Promotion Agreement.</w:t>
      </w:r>
    </w:p>
    <w:p>
      <w:pPr>
        <w:spacing w:after="0" w:line="122"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 xml:space="preserve">If we are unable to maintain an effective sales force, including through the ALK Co-Promotion Agreement,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we may not be able to generate significant product revenue in the United States. In addition, until the commencement of our commercial launch in September 2024, no one in our sales force had promoted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We are required to expend significant time and resources to train our sales force, including through the ALK Co-Promotion Agreement, to be credible in educating physicians and pharmacists on the benefits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addition, we must continually train our sales force, including through the ALK Co-Promotion Agreement, to ensure that a consistent and appropriate message about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is being delivered to our potential customers. We currently have limited resources compared to some of our competitors, and the continued development of our own commercial organization to market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any additional products we may develop or acquire will be expensive and time-consuming. We also cannot be certain that we will be able to continue to successfully develop this capability.</w:t>
      </w:r>
    </w:p>
    <w:p>
      <w:pPr>
        <w:spacing w:after="0" w:line="143" w:lineRule="exact"/>
        <w:rPr>
          <w:sz w:val="20"/>
          <w:szCs w:val="20"/>
          <w:color w:val="auto"/>
        </w:rPr>
      </w:pPr>
    </w:p>
    <w:p>
      <w:pPr>
        <w:ind w:left="640" w:right="759" w:firstLine="351"/>
        <w:spacing w:after="0" w:line="261" w:lineRule="auto"/>
        <w:rPr>
          <w:sz w:val="20"/>
          <w:szCs w:val="20"/>
          <w:color w:val="auto"/>
        </w:rPr>
      </w:pPr>
      <w:r>
        <w:rPr>
          <w:rFonts w:ascii="Times New Roman" w:cs="Times New Roman" w:eastAsia="Times New Roman" w:hAnsi="Times New Roman"/>
          <w:sz w:val="14"/>
          <w:szCs w:val="14"/>
          <w:color w:val="auto"/>
        </w:rPr>
        <w:t xml:space="preserve">We have entered into the ALK Co-Promotion Agreement with ALK U.S. for the co-promotion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to up to 9,000 specified pediatricians and other prescribers in the U.S. The commercial success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the United States, will be influenced in part by the efforts and allocation of resources by ALK U.S. Currently, ALK U.S. has limited experience promoting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while we will continue to work with ALK U.S. to optimize their commercialization activities, we cannot guarantee that such efforts will be successful. We also depend on ALK U.S. to comply with all applicable laws relative to the promotion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Because we do not control the individual efforts of ALK U.S., they may take actions or fail to take actions in a manner that is inconsistent with our interests. As a result, we may not realize the full potential benefits from the ALK Co-Promotion Agreement, and such actions or inactions could result in more limited or reduced sales, reputational harm, or regulatory or other adverse legal implications, any of which could adversely affect our business and results of operations.</w:t>
      </w:r>
    </w:p>
    <w:p>
      <w:pPr>
        <w:spacing w:after="0" w:line="143" w:lineRule="exact"/>
        <w:rPr>
          <w:sz w:val="20"/>
          <w:szCs w:val="20"/>
          <w:color w:val="auto"/>
        </w:rPr>
      </w:pPr>
    </w:p>
    <w:p>
      <w:pPr>
        <w:jc w:val="both"/>
        <w:ind w:left="640" w:right="639" w:firstLine="351"/>
        <w:spacing w:after="0" w:line="266" w:lineRule="auto"/>
        <w:rPr>
          <w:sz w:val="20"/>
          <w:szCs w:val="20"/>
          <w:color w:val="auto"/>
        </w:rPr>
      </w:pPr>
      <w:r>
        <w:rPr>
          <w:rFonts w:ascii="Times New Roman" w:cs="Times New Roman" w:eastAsia="Times New Roman" w:hAnsi="Times New Roman"/>
          <w:sz w:val="14"/>
          <w:szCs w:val="14"/>
          <w:color w:val="auto"/>
        </w:rPr>
        <w:t xml:space="preserve">We entered into exclusive licensing and collaboration agreements for the development and commercialization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with Alfresa Pharma Corporation in Japan; Pediatrix Therapeutics, Inc. in China, Macau, Hong Kong and Taiwan; CSL Seqirus in Australia and New Zealand; and ALK in all other unpartnered geographies outside the United States. If these third parties do not effectively engage or maintain their sales force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if approved in the applicable territories, our ability to recognize milestone payments and royalties from the sales in such territories will be adversely affected.</w:t>
      </w:r>
    </w:p>
    <w:p>
      <w:pPr>
        <w:spacing w:after="0" w:line="139" w:lineRule="exact"/>
        <w:rPr>
          <w:sz w:val="20"/>
          <w:szCs w:val="20"/>
          <w:color w:val="auto"/>
        </w:rPr>
      </w:pPr>
    </w:p>
    <w:p>
      <w:pPr>
        <w:ind w:left="640" w:right="679" w:firstLine="351"/>
        <w:spacing w:after="0" w:line="269" w:lineRule="auto"/>
        <w:rPr>
          <w:sz w:val="20"/>
          <w:szCs w:val="20"/>
          <w:color w:val="auto"/>
        </w:rPr>
      </w:pPr>
      <w:r>
        <w:rPr>
          <w:rFonts w:ascii="Times New Roman" w:cs="Times New Roman" w:eastAsia="Times New Roman" w:hAnsi="Times New Roman"/>
          <w:sz w:val="14"/>
          <w:szCs w:val="14"/>
          <w:color w:val="auto"/>
        </w:rPr>
        <w:t xml:space="preserve">We will need to continue to expend significant time and resources to train our sales forces to be credible in discussing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with the specialists treating the patients indicated under the product’s label. In addition, if we are unable to effectively train our sales force and equip them with effective marketing materials our ability to successfully 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could be diminished, which would have a material adverse effect on our business, results of operations and financial condition.</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48" w:name="page49"/>
    <w:bookmarkEnd w:id="48"/>
    <w:p>
      <w:pPr>
        <w:ind w:left="640" w:right="8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neffy and our current and future intranasal epinephrine technology product candidates may fail to achieve the degree of market acceptance by allergists, pediatricians and other physicians, patients, caregivers, third-party payors and others in the medical community necessary for commercial success, in which case we may not generate significant revenues or profits.</w:t>
      </w:r>
    </w:p>
    <w:p>
      <w:pPr>
        <w:spacing w:after="0" w:line="46"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 xml:space="preserve">We have never commercialized a product before our U.S. commercial launch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September 2024, and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may fail to gain sufficient market acceptance by allergists, pediatricians and other physicians, patients, caregivers, third-party payors and others in the medical community. Physicians may be reluctant to prescribe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and future intranasal epinephrine technology product candidates in place of well-established epinephrine intra-muscular injectable devices or other available treatments. Further, patients and caregivers may be reluctant to switch unless their physicians recommend switching products or are required to switch due to lack of coverage and adequate reimbursement. In addition, even though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has been determined to be safe and effective by the FDA and the EMA, safety or efficacy concerns in the medical community may hinder market acceptance.</w:t>
      </w:r>
    </w:p>
    <w:p>
      <w:pPr>
        <w:spacing w:after="0" w:line="144" w:lineRule="exact"/>
        <w:rPr>
          <w:sz w:val="20"/>
          <w:szCs w:val="20"/>
          <w:color w:val="auto"/>
        </w:rPr>
      </w:pPr>
    </w:p>
    <w:p>
      <w:pPr>
        <w:ind w:left="640" w:right="739" w:firstLine="351"/>
        <w:spacing w:after="0" w:line="295" w:lineRule="auto"/>
        <w:rPr>
          <w:sz w:val="20"/>
          <w:szCs w:val="20"/>
          <w:color w:val="auto"/>
        </w:rPr>
      </w:pPr>
      <w:r>
        <w:rPr>
          <w:rFonts w:ascii="Times New Roman" w:cs="Times New Roman" w:eastAsia="Times New Roman" w:hAnsi="Times New Roman"/>
          <w:sz w:val="14"/>
          <w:szCs w:val="14"/>
          <w:color w:val="auto"/>
        </w:rPr>
        <w:t xml:space="preserve">The degree of market acceptance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any future intranasal epinephrine technology product will depend on a number of factors, including:</w:t>
      </w:r>
    </w:p>
    <w:p>
      <w:pPr>
        <w:spacing w:after="0" w:line="36" w:lineRule="exact"/>
        <w:rPr>
          <w:sz w:val="20"/>
          <w:szCs w:val="20"/>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provide acceptable evidence of safety and efficacy;</w:t>
      </w:r>
    </w:p>
    <w:p>
      <w:pPr>
        <w:spacing w:after="0" w:line="96" w:lineRule="exact"/>
        <w:rPr>
          <w:rFonts w:ascii="Times New Roman" w:cs="Times New Roman" w:eastAsia="Times New Roman" w:hAnsi="Times New Roman"/>
          <w:sz w:val="14"/>
          <w:szCs w:val="14"/>
          <w:color w:val="auto"/>
        </w:rPr>
      </w:pPr>
    </w:p>
    <w:p>
      <w:pPr>
        <w:ind w:left="1340" w:right="799" w:hanging="352"/>
        <w:spacing w:after="0" w:line="292"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advantages of the product compared to competitive therapies and our ability to successfully publicize these advantages or highlight them in any marketing materials;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the approved indication(s) for the product;</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inclusion of any warnings or contraindications in the product label;</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convenience and ease of administration;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the target patient population to try, and of physicians to prescribe, the product;</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adverse side effects;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alternative treatments and products from our competitors;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pricing and cost effectiveness, which may be subject to regulatory control;</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standard of care for the targeted indications for the product;</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effectiveness of our or our collaborators’ sales and marketing strategy;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sufficient third-party insurance coverage or adequate reimbursement levels.</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The market for neffy and our intranasal epinephrine technology may be smaller than we expect.</w:t>
      </w:r>
    </w:p>
    <w:p>
      <w:pPr>
        <w:spacing w:after="0" w:line="101"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 xml:space="preserve">We have focused our development of our intranasal epinephrine technology initially for the emergency treatment of Type I allergic reactions. We base our market opportunity estimates on a variety of factors, including our estimates of the number of people who have experienced severe Type I allergic reactions and are at risk of anaphylaxis, the continued growth rate of our patient population, the number of those in our patient population who we expect will fill a prescription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including those that currently do not fill prescriptions for epinephrine intra-muscular injectable devices or whose prescriptions have lapsed, the estimated increase in per patient device acquisition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as compared to epinephrine intra-muscular injectable devices and the net sales of epinephrine intra-muscular injectable devices. These estimates are based on many assumptions and may prove incorrect, and new studies or market research may reduce our estimated patient population and potential sales. If our market opportunities are smaller than we expect, our future product revenues may be smaller than anticipated, which would adversely affect our business, financial condition, results of operations and prospects.</w:t>
      </w:r>
    </w:p>
    <w:p>
      <w:pPr>
        <w:spacing w:after="0" w:line="228" w:lineRule="exact"/>
        <w:rPr>
          <w:sz w:val="20"/>
          <w:szCs w:val="20"/>
          <w:color w:val="auto"/>
        </w:rPr>
      </w:pPr>
    </w:p>
    <w:p>
      <w:pPr>
        <w:ind w:left="640" w:right="6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achieve and maintain adequate levels of third-party payor coverage and reimbursement for neffy on reasonable pricing terms, its commercial success may be severely hindered.*</w:t>
      </w:r>
    </w:p>
    <w:p>
      <w:pPr>
        <w:spacing w:after="0" w:line="32"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 xml:space="preserve">Successful sales of any approved products, including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depend on the availability of adequate coverage and reimbursement from third-party payors. Patients who are prescribed medicine for the treatment of their conditions generally rely on third-party payors to reimburse all or part of the costs associated with their prescription drugs. Coverage and adequate reimbursement from governmental healthcare programs, such as Medicare and Medicaid, and commercial payors is critical to new product acceptance. Coverage decisions may depend upon clinical and economic standards that disfavor new drug products when more established or lower cost therapeutic alternatives are already available or subsequently become available. Even with coverage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the resulting reimbursement payment rates might not be adequate or may require co-payments that patients find unacceptably high. Patients may not use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if coverage is not provided or reimbursement is inadequate to cover a significant portion of the cost of those products.</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49" w:name="page50"/>
    <w:bookmarkEnd w:id="49"/>
    <w:p>
      <w:pPr>
        <w:ind w:left="640" w:right="879" w:firstLine="351"/>
        <w:spacing w:after="0" w:line="275" w:lineRule="auto"/>
        <w:rPr>
          <w:sz w:val="20"/>
          <w:szCs w:val="20"/>
          <w:color w:val="auto"/>
        </w:rPr>
      </w:pPr>
      <w:r>
        <w:rPr>
          <w:rFonts w:ascii="Times New Roman" w:cs="Times New Roman" w:eastAsia="Times New Roman" w:hAnsi="Times New Roman"/>
          <w:sz w:val="14"/>
          <w:szCs w:val="14"/>
          <w:color w:val="auto"/>
        </w:rPr>
        <w:t xml:space="preserve">Payors may require documented proof that patients meet certain eligibility criteria in order to be reimbursed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Payors may even require that pre-approval, or prior-authorization, be obtained from the payor for reimbursement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Patients are unlikely to use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unless coverage is provided and reimbursement is adequate to cover a significant portion of the cost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640" w:right="699" w:firstLine="351"/>
        <w:spacing w:after="0" w:line="264" w:lineRule="auto"/>
        <w:rPr>
          <w:sz w:val="20"/>
          <w:szCs w:val="20"/>
          <w:color w:val="auto"/>
        </w:rPr>
      </w:pPr>
      <w:r>
        <w:rPr>
          <w:rFonts w:ascii="Times New Roman" w:cs="Times New Roman" w:eastAsia="Times New Roman" w:hAnsi="Times New Roman"/>
          <w:sz w:val="14"/>
          <w:szCs w:val="14"/>
          <w:color w:val="auto"/>
        </w:rPr>
        <w:t xml:space="preserve">In addition, the market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may depend significantly on access to third-party payors’ medical policies, drug formularies, or lists of medications for which third-party payors provide coverage and reimbursement. The industry competition to be included in such formularies often leads to downward pricing pressures on pharmaceutical companies, and we will be required to offer discounted rates to state Medicaid programs to ensure Medicaid coverage of our drugs. Also, third-party payors may refuse to include a particular branded drug in their formularies or otherwise restrict patient access to a branded drug when a less costly generic equivalent or other alternative is available, even if not approved for the indication(s) for which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is approved.</w:t>
      </w:r>
    </w:p>
    <w:p>
      <w:pPr>
        <w:spacing w:after="0" w:line="142"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auto"/>
        </w:rPr>
        <w:t xml:space="preserve">Third-party payors, whether foreign or domestic, or governmental or commercial, are developing increasingly sophisticated methods of controlling healthcare costs. The current environment is putting pressure on companies to price products below what they may feel is appropriate. Selling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at less than an optimized price could impact our revenues and overall success as a company. In addition, in the United States, no uniform policy of coverage and reimbursement for drug products exists among third-party payors. Therefore, coverage and reimbursement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may differ significantly from payor to payor. As a result, the coverage determination process is often a time-consuming and costly process that will require us to provide scientific and clinical support for the use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to each payor separately, with no assurance that coverage will be obtained, or that payment levels will be adequate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any other products we may market. Further, coverage policies and third-party payor reimbursement rates may change at any time. Therefore, even if favorable coverage and reimbursement status is attained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more products for which we receive marketing approval, less favorable coverage policies and reimbursement rates may be implemented in the future. In addition, Physicians may limit how much or under what circumstances they will prescribe or administer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any other products we may market, and patients may decline to purchase them. This in turn could affect our ability to successfully 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or any other products we may market, and thereby adversely impact our profitability, results of operations, financial condition and future success.</w:t>
      </w:r>
    </w:p>
    <w:p>
      <w:pPr>
        <w:spacing w:after="0" w:line="229" w:lineRule="exact"/>
        <w:rPr>
          <w:sz w:val="20"/>
          <w:szCs w:val="20"/>
          <w:color w:val="auto"/>
        </w:rPr>
      </w:pPr>
    </w:p>
    <w:p>
      <w:pPr>
        <w:ind w:left="640" w:right="7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neffy has only been studied in a limited number of patients. neffy is now available to a much larger number of patients, and we do not know whether the results of neffy’s use in such larger number of patients will be consistent with the results from our clinical studies.</w:t>
      </w:r>
    </w:p>
    <w:p>
      <w:pPr>
        <w:spacing w:after="0" w:line="46"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 xml:space="preserve">Prior to commercialization,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had been administered only to a limited number of patients in clinical studies. While the FDA and European Commission granted approval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based on the data included in the NDA and marketing authorization application (“MAA”), respectively, we do not know whether the results when a large number of patients are exposed to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including results related to safety and efficacy, will be consistent with the results from earlier clinical studies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that served as the basis for the approval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New data relating to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may result in changes to the product label and may adversely affect sales, or result in withdrawal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from the market. The FDA and regulatory authorities in other jurisdictions may also consider the new data in reviewing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’s marketing applications for additional indications and/or in other jurisdictions, or impose post-approval requirements. If any of these actions were to occur, it could result in significant expense and delay or limit our ability to generate sales revenues.</w:t>
      </w:r>
    </w:p>
    <w:p>
      <w:pPr>
        <w:spacing w:after="0" w:line="230" w:lineRule="exact"/>
        <w:rPr>
          <w:sz w:val="20"/>
          <w:szCs w:val="20"/>
          <w:color w:val="auto"/>
        </w:rPr>
      </w:pPr>
    </w:p>
    <w:p>
      <w:pPr>
        <w:ind w:left="640" w:right="65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Competitive products may reduce or eliminate the commercial opportunity for neffy or our current and future intranasal epinephrine technology product candidates. If our competitors develop technologies or product candidates more rapidly than us, or their technologies or product candidates are more effective or safer than ours, our ability to develop and successfully commercialize neffy and our current and future intranasal epinephrine technology product candidates may be adversely affected.*</w:t>
      </w:r>
    </w:p>
    <w:p>
      <w:pPr>
        <w:spacing w:after="0" w:line="53" w:lineRule="exact"/>
        <w:rPr>
          <w:sz w:val="20"/>
          <w:szCs w:val="20"/>
          <w:color w:val="auto"/>
        </w:rPr>
      </w:pPr>
    </w:p>
    <w:p>
      <w:pPr>
        <w:ind w:left="640" w:right="739" w:firstLine="351"/>
        <w:spacing w:after="0" w:line="258" w:lineRule="auto"/>
        <w:rPr>
          <w:sz w:val="20"/>
          <w:szCs w:val="20"/>
          <w:color w:val="auto"/>
        </w:rPr>
      </w:pPr>
      <w:r>
        <w:rPr>
          <w:rFonts w:ascii="Times New Roman" w:cs="Times New Roman" w:eastAsia="Times New Roman" w:hAnsi="Times New Roman"/>
          <w:sz w:val="14"/>
          <w:szCs w:val="14"/>
          <w:color w:val="auto"/>
        </w:rPr>
        <w:t xml:space="preserve">The clinical and commercial landscape for the emergency treatment of Type I allergic reactions is highly competitive and subject to significant technological change. We face competition with respect to our current indications for our intranasal epinephrine technology, including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will face competition with respect to any future indications of our intranasal epinephrine technology or other product candidates that we may seek to develop or commercialize in the future from large pharmaceutical and biotechnology companies, specialty pharmaceutical and generic drug companies, academic institutions, government agencies and research institutions. Based on the initially approved indications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we anticipate that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will compete primarily against epinephrine intra-muscular injectable products, for the emergency treatment of Type I allergic reactions including EpiPen and its generics, which is marketed by Viatris, Inc. and Teva Pharmaceuticals, Inc.; Adrenaclick, which is marketed by Amneal Pharmaceuticals, Inc.; Auvi-Q, which is marketed by Kaleo, Inc.; and Symjepi, which is marketed by Sandoz, Inc., a Novartis division. Several other companies are also clinically developing larger dose intranasal epinephrine product candidates that may compete with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including Bryn Pharma, Nasus Pharma, Hikma Pharmaceuticals, Inc. (previously INSYS Therapeutics, Inc.), Orexo AB and Belhaven BioPharma. Aquestive Therapeutics is developing a sublingual candidate based on a prodrug of epinephrine. If our current and future intranasal epinephrine technology product candidates are approved for other indications, they would also compete with a range of other therapeutic treatments that are well established such as antihistamines or in development.</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4" w:right="1440" w:bottom="1440" w:gutter="0" w:footer="0" w:header="0"/>
        </w:sectPr>
      </w:pPr>
    </w:p>
    <w:bookmarkStart w:id="50" w:name="page51"/>
    <w:bookmarkEnd w:id="50"/>
    <w:p>
      <w:pPr>
        <w:ind w:left="640" w:right="739" w:firstLine="351"/>
        <w:spacing w:after="0" w:line="260" w:lineRule="auto"/>
        <w:rPr>
          <w:sz w:val="20"/>
          <w:szCs w:val="20"/>
          <w:color w:val="auto"/>
        </w:rPr>
      </w:pPr>
      <w:r>
        <w:rPr>
          <w:rFonts w:ascii="Times New Roman" w:cs="Times New Roman" w:eastAsia="Times New Roman" w:hAnsi="Times New Roman"/>
          <w:sz w:val="14"/>
          <w:szCs w:val="14"/>
          <w:color w:val="auto"/>
        </w:rPr>
        <w:t xml:space="preserve">Many of our potential competitors have substantially greater financial, technical, commercial and human resources than we do and significantly more experience in the discovery, development and regulatory approval of product candidates and the commercialization of those products. Accordingly, our competitors may be more successful than we may be in obtaining regulatory approval for therapies and achieving widespread market acceptance. Our competitors’ products may be more effective, safer, or more effectively marketed and sold, than any product candidate we may commercialize and may render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and future intranasal epinephrine technology product candidates obsolete or non-competitive before we can recover development and commercialization expenses. In addition, our competitors may succeed in developing, acquiring or licensing technologies and drug products that are more effective or less costly than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and future intranasal epinephrine technology product candidates, which could render such products or product candidates obsolete and noncompetitive.</w:t>
      </w:r>
    </w:p>
    <w:p>
      <w:pPr>
        <w:spacing w:after="0" w:line="147" w:lineRule="exact"/>
        <w:rPr>
          <w:sz w:val="20"/>
          <w:szCs w:val="20"/>
          <w:color w:val="auto"/>
        </w:rPr>
      </w:pPr>
    </w:p>
    <w:p>
      <w:pPr>
        <w:ind w:left="640" w:right="679" w:firstLine="351"/>
        <w:spacing w:after="0" w:line="264" w:lineRule="auto"/>
        <w:rPr>
          <w:sz w:val="20"/>
          <w:szCs w:val="20"/>
          <w:color w:val="auto"/>
        </w:rPr>
      </w:pPr>
      <w:r>
        <w:rPr>
          <w:rFonts w:ascii="Times New Roman" w:cs="Times New Roman" w:eastAsia="Times New Roman" w:hAnsi="Times New Roman"/>
          <w:sz w:val="14"/>
          <w:szCs w:val="14"/>
          <w:color w:val="auto"/>
        </w:rPr>
        <w:t xml:space="preserve">We face competition based on many different factors, including the efficacy, safety and tolerability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and future intranasal epinephrine technology product candidates, the ease with which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and future intranasal epinephrine technology product candidates can be administered, the scope of regulatory approval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and future intranasal epinephrine technology product candidates, the availability and cost of manufacturing, marketing and sales capabilities, price, reimbursement coverage and patent position. Such competitors could also recruit our employees, which could negatively impact our level of expertise and our ability to execute our business plan.</w:t>
      </w:r>
    </w:p>
    <w:p>
      <w:pPr>
        <w:spacing w:after="0" w:line="142"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 xml:space="preserve">In addition, our competitors may obtain patent protection, regulatory exclusivities or regulatory approval and commercialize products more rapidly than we do, which may impact future approvals or sales of any of our products that receive regulatory approval. We will also be competing with respect to marketing capabilities and manufacturing efficiency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as an early commercial stage product. We expect competition among future products, if any,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or future products cannot compete effectively in the marketplace.</w:t>
      </w:r>
    </w:p>
    <w:p>
      <w:pPr>
        <w:spacing w:after="0" w:line="144"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Mergers and acquisitions in the pharmaceutical and biotechnology industries may result in even more resources being concentrated among a smaller number of our competitors. Smaller and other early commercial 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activities.</w:t>
      </w:r>
    </w:p>
    <w:p>
      <w:pPr>
        <w:spacing w:after="0" w:line="224" w:lineRule="exact"/>
        <w:rPr>
          <w:sz w:val="20"/>
          <w:szCs w:val="20"/>
          <w:color w:val="auto"/>
        </w:rPr>
      </w:pPr>
    </w:p>
    <w:p>
      <w:pPr>
        <w:ind w:left="640" w:right="65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If the FDA, the European Commission or other comparable foreign regulatory authorities approve generic versions of neffy or our current or future intranasal epinephrine technology product candidates that receives regulatory approval, or such authorities do not grant our products appropriate periods of non-patent exclusivity before approving generic versions of such products, the sales of such products could be adversely affected.*</w:t>
      </w:r>
    </w:p>
    <w:p>
      <w:pPr>
        <w:spacing w:after="0" w:line="53" w:lineRule="exact"/>
        <w:rPr>
          <w:sz w:val="20"/>
          <w:szCs w:val="20"/>
          <w:color w:val="auto"/>
        </w:rPr>
      </w:pPr>
    </w:p>
    <w:p>
      <w:pPr>
        <w:ind w:left="640" w:right="779" w:firstLine="351"/>
        <w:spacing w:after="0" w:line="260" w:lineRule="auto"/>
        <w:rPr>
          <w:sz w:val="20"/>
          <w:szCs w:val="20"/>
          <w:color w:val="auto"/>
        </w:rPr>
      </w:pPr>
      <w:r>
        <w:rPr>
          <w:rFonts w:ascii="Times New Roman" w:cs="Times New Roman" w:eastAsia="Times New Roman" w:hAnsi="Times New Roman"/>
          <w:sz w:val="14"/>
          <w:szCs w:val="14"/>
          <w:color w:val="auto"/>
        </w:rPr>
        <w:t>In the United States, once an NDA is approved, the product covered thereby becomes a “reference listed drug” in the FDA’s publication, “Approved Drug Products with Therapeutic Equivalence Evaluations,” or the Orange Book. Manufacturers may seek approval of generic versions of reference listed drugs through submission of ANDAs in the United States. In support of an ANDA, a generic manufacturer generally must show that its product has the same active ingredient(s), dosage form, strength, route of administration, and adequate labeling as the reference listed drug and that the generic version is bioequivalent to the reference listed drug, meaning, in part, that it is absorbed in the body at the same rate and to the same extent. Generic products may be significantly less costly to bring to market than the reference listed drug and companies that produce generic products are generally able to offer them at lower prices. Moreover, third-party insurers require, and many states allow or require, substitution of therapeutically equivalent generic drugs at the pharmacy level even if the branded drug is prescribed. Thus, following the introduction of a generic drug, a significant percentage of the sales of any branded product or reference listed drug may be lost to the generic product.</w:t>
      </w:r>
    </w:p>
    <w:p>
      <w:pPr>
        <w:spacing w:after="0" w:line="146"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 FDA may not finally approve an ANDA for a generic product or a Section 505(b)(2) NDA of a competitor until any applicable period of non-patent exclusivity for the reference listed drug has expired. The FDCA provides a period of five years of non-patent exclusivity for a new drug containing a new chemical entity (“NCE”). For the purposes of this provision, an NCE is a drug that contains no active moiety that has previously been approved by the FDA in any other NDA. An active moiety is the molecule or ion responsible for the physiological or pharmacological action of the drug substance. Specifically, in cases where such exclusivity has been granted, an ANDA may not be filed with the FDA until the expiration of five years unless the submission is accompanied by a Paragraph IV certification that a patent covering the listed drug is invalid, unenforceable or will not be infringed by the generic product. In that case, the applicant may submit its application four years following approval of the listed drug and seek to launch its generic product even if we still have patent protection for our product unless an infringement suit is timely filed by the NDA or patent holder in which case the FDA cannot approve the ANDA or a Section 505(b)(2) NDA for 30 months unless a court decision in favor of the generic manufacturer is issued earlier.</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51" w:name="page52"/>
    <w:bookmarkEnd w:id="51"/>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Upon receiving a marketing authorization in the EU from the European Commission, innovative medicinal products are generally entitled to receive eight years of data exclusivity and 10 years of market exclusivity. Data exclusivity, if granted, prevents regulatory authorities in the EU from referencing the innovator’s data to assess a generic application or biosimilar application for eight years from the date of authorization of the innovative product, after which a generic or biosimilar MAA can be submitted, and the innovator’s data may be referenced. The market exclusivity period prevents a successful generic or biosimilar applicant from commercializing its product in the EU until 10 years have elapsed from the initial MA of the reference product in the EU. The overall ten-year period may, occasionally, be extended for a further year to a maximum of 11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 Comparable regimes to those in the US and EU exist in some other major markets, including the United Kingdom.</w:t>
      </w:r>
    </w:p>
    <w:p>
      <w:pPr>
        <w:spacing w:after="0" w:line="200" w:lineRule="exact"/>
        <w:rPr>
          <w:sz w:val="20"/>
          <w:szCs w:val="20"/>
          <w:color w:val="auto"/>
        </w:rPr>
      </w:pPr>
    </w:p>
    <w:p>
      <w:pPr>
        <w:spacing w:after="0" w:line="205" w:lineRule="exact"/>
        <w:rPr>
          <w:sz w:val="20"/>
          <w:szCs w:val="20"/>
          <w:color w:val="auto"/>
        </w:rPr>
      </w:pPr>
    </w:p>
    <w:p>
      <w:pPr>
        <w:ind w:left="640" w:right="10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Obtaining regulatory approval of neffy or our current or future intranasal epinephrine technology product candidates in one jurisdiction does not mean that we will be successful in obtaining regulatory approval in other jurisdictions.*</w:t>
      </w:r>
    </w:p>
    <w:p>
      <w:pPr>
        <w:spacing w:after="0" w:line="32"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 xml:space="preserve">Even though we have obtained regulatory approval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the United States and the EU, there is no guarantee that we will be able to maintain these regulatory approvals or obtain or maintain regulatory approval in any other jurisdiction. A failure or delay in obtaining regulatory approval in one jurisdiction may have a negative effect on the regulatory approval process in others. For example, even though the FDA and European Commission have granted marketing approval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comparable regulatory authorities in other foreign jurisdictions must also approve the manufacturing, marketing and promotion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before it can be marketed in those countries. Approval procedures vary among jurisdictions and can involve requirements and administrative review periods different from, and greater than, those in the United States or the EU including additional nonclinical studies or clinical trials, as clinical trials conducted in one jurisdiction may not be accepted by regulatory authorities in other jurisdictions. In many jurisdictions outside the United States including certain jurisdictions in the EU, a product candidate must be approved for reimbursement before it can be approved for sale in that jurisdiction. In some cases, the price that we intend to charge for our products is also subject to approval.</w:t>
      </w:r>
    </w:p>
    <w:p>
      <w:pPr>
        <w:spacing w:after="0" w:line="148" w:lineRule="exact"/>
        <w:rPr>
          <w:sz w:val="20"/>
          <w:szCs w:val="20"/>
          <w:color w:val="auto"/>
        </w:rPr>
      </w:pPr>
    </w:p>
    <w:p>
      <w:pPr>
        <w:jc w:val="both"/>
        <w:ind w:left="640" w:right="779" w:firstLine="351"/>
        <w:spacing w:after="0" w:line="262" w:lineRule="auto"/>
        <w:rPr>
          <w:sz w:val="20"/>
          <w:szCs w:val="20"/>
          <w:color w:val="auto"/>
        </w:rPr>
      </w:pPr>
      <w:r>
        <w:rPr>
          <w:rFonts w:ascii="Times New Roman" w:cs="Times New Roman" w:eastAsia="Times New Roman" w:hAnsi="Times New Roman"/>
          <w:sz w:val="14"/>
          <w:szCs w:val="14"/>
          <w:color w:val="auto"/>
        </w:rPr>
        <w:t>We have submitted and plan to submit additional or supplemental marketing applications in the United States and in the EU. Regulatory authorities in jurisdictions outside of the United States have requirements for approval of product candidates with which we must comply prior to marketing in those jurisdictions and such regulatory requirements can vary widely from country to country.</w:t>
      </w:r>
    </w:p>
    <w:p>
      <w:pPr>
        <w:spacing w:after="0" w:line="2" w:lineRule="exact"/>
        <w:rPr>
          <w:sz w:val="20"/>
          <w:szCs w:val="20"/>
          <w:color w:val="auto"/>
        </w:rPr>
      </w:pPr>
    </w:p>
    <w:p>
      <w:pPr>
        <w:ind w:left="640" w:right="679"/>
        <w:spacing w:after="0" w:line="258" w:lineRule="auto"/>
        <w:rPr>
          <w:sz w:val="20"/>
          <w:szCs w:val="20"/>
          <w:color w:val="auto"/>
        </w:rPr>
      </w:pPr>
      <w:r>
        <w:rPr>
          <w:rFonts w:ascii="Times New Roman" w:cs="Times New Roman" w:eastAsia="Times New Roman" w:hAnsi="Times New Roman"/>
          <w:sz w:val="14"/>
          <w:szCs w:val="14"/>
          <w:color w:val="auto"/>
        </w:rPr>
        <w:t xml:space="preserve">Obtaining other regulatory approvals and compliance with other regulatory requirements could result in significant delays, difficulties and costs for us and could require additional nonclinical studies or clinical trials, which could be costly and time-consuming and could delay or prevent the introduction of our products in certain countries. The foreign regulatory approval process involves all of the risks associated with FDA approval. We have one product approved for sale. We have limited experience in obtaining regulatory approval in domestic and international markets. If we or our collaboration partners fail to comply with the regulatory requirements in international markets and/or obtain and maintain applicable marketing approvals, our target market will be reduced and our ability to realize the full market potential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will be harmed.</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52" w:name="page53"/>
    <w:bookmarkEnd w:id="52"/>
    <w:p>
      <w:pPr>
        <w:jc w:val="both"/>
        <w:ind w:left="640" w:right="7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successfully develop our current or future intranasal epinephrine technology product candidates, or neffy for additional indications, or experience significant delays in doing so, the commercial potential of our current or future intranasal epinephrine technology product candidates or neffy will be more limited.*</w:t>
      </w:r>
    </w:p>
    <w:p>
      <w:pPr>
        <w:spacing w:after="0" w:line="48" w:lineRule="exact"/>
        <w:rPr>
          <w:sz w:val="20"/>
          <w:szCs w:val="20"/>
          <w:color w:val="auto"/>
        </w:rPr>
      </w:pPr>
    </w:p>
    <w:p>
      <w:pPr>
        <w:ind w:left="640" w:right="759" w:firstLine="351"/>
        <w:spacing w:after="0" w:line="268" w:lineRule="auto"/>
        <w:rPr>
          <w:sz w:val="20"/>
          <w:szCs w:val="20"/>
          <w:color w:val="auto"/>
        </w:rPr>
      </w:pPr>
      <w:r>
        <w:rPr>
          <w:rFonts w:ascii="Times New Roman" w:cs="Times New Roman" w:eastAsia="Times New Roman" w:hAnsi="Times New Roman"/>
          <w:sz w:val="14"/>
          <w:szCs w:val="14"/>
          <w:color w:val="auto"/>
        </w:rPr>
        <w:t xml:space="preserve">Successful continued development and ultimate regulatory approval of our current or future intranasal epinephrine technology product candidates and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for additional indications is important to the future success of our business. The future regulatory and commercial success of our current or future intranasal epinephrine technology product candidates and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for additional indications is subject to a number of risks, including the following:</w:t>
      </w:r>
    </w:p>
    <w:p>
      <w:pPr>
        <w:spacing w:after="0" w:line="54" w:lineRule="exact"/>
        <w:rPr>
          <w:sz w:val="20"/>
          <w:szCs w:val="20"/>
          <w:color w:val="auto"/>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completion of nonclinical studies and clinical trials;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patient enrollment in clinical trials;</w:t>
      </w:r>
    </w:p>
    <w:p>
      <w:pPr>
        <w:spacing w:after="0" w:line="96" w:lineRule="exact"/>
        <w:rPr>
          <w:rFonts w:ascii="Times New Roman" w:cs="Times New Roman" w:eastAsia="Times New Roman" w:hAnsi="Times New Roman"/>
          <w:sz w:val="14"/>
          <w:szCs w:val="14"/>
          <w:color w:val="auto"/>
        </w:rPr>
      </w:pPr>
    </w:p>
    <w:p>
      <w:pPr>
        <w:ind w:left="1340" w:right="1139" w:hanging="352"/>
        <w:spacing w:after="0" w:line="292" w:lineRule="auto"/>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data from our nonclinical studies and clinical trials that support an acceptable risk-benefit profile of our intranasal epinephrine technology in the intended populations and indications;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satisfaction of applicable regulatory requirements, including to satisfy applicable rules governing combination products;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unforeseen safety issues or adverse side effects;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and maintenance of marketing approvals from applicable regulatory authorities;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remaining in compliance with post-marketing regulatory requirements;</w:t>
      </w:r>
    </w:p>
    <w:p>
      <w:pPr>
        <w:spacing w:after="0" w:line="96" w:lineRule="exact"/>
        <w:rPr>
          <w:rFonts w:ascii="Times New Roman" w:cs="Times New Roman" w:eastAsia="Times New Roman" w:hAnsi="Times New Roman"/>
          <w:sz w:val="14"/>
          <w:szCs w:val="14"/>
          <w:color w:val="auto"/>
        </w:rPr>
      </w:pPr>
    </w:p>
    <w:p>
      <w:pPr>
        <w:ind w:left="1340" w:right="979" w:hanging="352"/>
        <w:spacing w:after="0" w:line="292" w:lineRule="auto"/>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maintaining patent and trade secret protection and regulatory exclusivity for our intranasal epinephrine technology;</w:t>
      </w:r>
    </w:p>
    <w:p>
      <w:pPr>
        <w:spacing w:after="0" w:line="37" w:lineRule="exact"/>
        <w:rPr>
          <w:rFonts w:ascii="Times New Roman" w:cs="Times New Roman" w:eastAsia="Times New Roman" w:hAnsi="Times New Roman"/>
          <w:sz w:val="14"/>
          <w:szCs w:val="14"/>
          <w:color w:val="auto"/>
        </w:rPr>
      </w:pPr>
    </w:p>
    <w:p>
      <w:pPr>
        <w:ind w:left="1340" w:right="699" w:hanging="352"/>
        <w:spacing w:after="0" w:line="292" w:lineRule="auto"/>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arrangements or maintaining existing arrangements with third-party manufacturers, or establishing manufacturing capabilities, for both clinical and commercial supplies of our intranasal epinephrine technology;</w:t>
      </w:r>
    </w:p>
    <w:p>
      <w:pPr>
        <w:spacing w:after="0" w:line="35" w:lineRule="exact"/>
        <w:rPr>
          <w:rFonts w:ascii="Times New Roman" w:cs="Times New Roman" w:eastAsia="Times New Roman" w:hAnsi="Times New Roman"/>
          <w:sz w:val="14"/>
          <w:szCs w:val="14"/>
          <w:color w:val="auto"/>
        </w:rPr>
      </w:pPr>
    </w:p>
    <w:p>
      <w:pPr>
        <w:ind w:left="1340" w:right="739" w:hanging="352"/>
        <w:spacing w:after="0" w:line="295" w:lineRule="auto"/>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entry into collaborations to further the development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and future intranasal epinephrine technology product candidates in other jurisdictions or for additional indications;</w:t>
      </w:r>
    </w:p>
    <w:p>
      <w:pPr>
        <w:spacing w:after="0" w:line="35"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grow our sales, marketing and distribution capabilities and commercializing any approved products, whether alone or in collaboration with others;</w:t>
      </w:r>
    </w:p>
    <w:p>
      <w:pPr>
        <w:spacing w:after="0" w:line="35"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successfully commercializing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and future intranasal epinephrine technology product candidates;</w:t>
      </w:r>
    </w:p>
    <w:p>
      <w:pPr>
        <w:spacing w:after="0" w:line="96" w:lineRule="exact"/>
        <w:rPr>
          <w:rFonts w:ascii="Times New Roman" w:cs="Times New Roman" w:eastAsia="Times New Roman" w:hAnsi="Times New Roman"/>
          <w:sz w:val="14"/>
          <w:szCs w:val="14"/>
          <w:color w:val="auto"/>
        </w:rPr>
      </w:pPr>
    </w:p>
    <w:p>
      <w:pPr>
        <w:ind w:left="1340" w:right="1079" w:hanging="352"/>
        <w:spacing w:after="0" w:line="295" w:lineRule="auto"/>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acceptance by patients, the medical community and third-party payors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and future intranasal epinephrine technology product candidates;</w:t>
      </w:r>
    </w:p>
    <w:p>
      <w:pPr>
        <w:spacing w:after="0" w:line="35"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maintaining third-party coverage and adequate reimbursement;</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following approval, maintaining a continued acceptable safety profile;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competing with other therapies;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ensuring that we promote and distribute our products consistent with all applicable healthcare laws;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enforcing and defending intellectual property rights and claims.</w:t>
      </w:r>
    </w:p>
    <w:p>
      <w:pPr>
        <w:spacing w:after="0" w:line="183" w:lineRule="exact"/>
        <w:rPr>
          <w:sz w:val="20"/>
          <w:szCs w:val="20"/>
          <w:color w:val="auto"/>
        </w:rPr>
      </w:pPr>
    </w:p>
    <w:p>
      <w:pPr>
        <w:ind w:left="640" w:right="719" w:firstLine="351"/>
        <w:spacing w:after="0" w:line="265" w:lineRule="auto"/>
        <w:rPr>
          <w:sz w:val="20"/>
          <w:szCs w:val="20"/>
          <w:color w:val="auto"/>
        </w:rPr>
      </w:pPr>
      <w:r>
        <w:rPr>
          <w:rFonts w:ascii="Times New Roman" w:cs="Times New Roman" w:eastAsia="Times New Roman" w:hAnsi="Times New Roman"/>
          <w:sz w:val="14"/>
          <w:szCs w:val="14"/>
          <w:color w:val="auto"/>
        </w:rPr>
        <w:t>Many of these risks are beyond our control, including the risks related to clinical development, the regulatory submission and review process, maintaining regulatory approval, potential threats to our intellectual property rights and the manufacturing, marketing and sales efforts of any current or future collaboration partner. If we or a collaboration partner are unable to develop, receive regulatory approval for our intranasal epinephrine technology for the additional indications we are developing it for, including urticaria, or if we experience delays as a result of any of these risks or otherwise, our ability to grow our business will be limited.</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53" w:name="page54"/>
    <w:bookmarkEnd w:id="53"/>
    <w:p>
      <w:pPr>
        <w:ind w:left="640" w:right="65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If the FDA does not conclude that our current or future intranasal epinephrine technology product candidates, or neffy for additional indications, satisfies the requirements for the Section 505(b)(2) regulatory approval pathway, or if the requirements for any such future indications under Section 505(b)(2) are not as we expect, the approval pathway for those product candidates or additional indications will likely take significantly longer, cost significantly more and entail significantly greater complications and risks than anticipated, and in either case may not be successful.*</w:t>
      </w:r>
    </w:p>
    <w:p>
      <w:pPr>
        <w:spacing w:after="0" w:line="57" w:lineRule="exact"/>
        <w:rPr>
          <w:sz w:val="20"/>
          <w:szCs w:val="20"/>
          <w:color w:val="auto"/>
        </w:rPr>
      </w:pPr>
    </w:p>
    <w:p>
      <w:pPr>
        <w:ind w:left="640" w:right="839" w:firstLine="351"/>
        <w:spacing w:after="0" w:line="262" w:lineRule="auto"/>
        <w:rPr>
          <w:sz w:val="20"/>
          <w:szCs w:val="20"/>
          <w:color w:val="auto"/>
        </w:rPr>
      </w:pPr>
      <w:r>
        <w:rPr>
          <w:rFonts w:ascii="Times New Roman" w:cs="Times New Roman" w:eastAsia="Times New Roman" w:hAnsi="Times New Roman"/>
          <w:sz w:val="14"/>
          <w:szCs w:val="14"/>
          <w:color w:val="auto"/>
        </w:rPr>
        <w:t>The Hatch Waxman Act added Section 505(b)(2) to the FDCA. Section 505(b)(2) permits the filing of an NDA where at least some of the information required for approval comes from studies that were not conducted by or for the applicant and for which the applicant has not obtained a right of reference. Section 505(b)(2), if available to us, would allow an NDA we submit to the FDA to rely in part on data in the public domain or the FDA’s prior conclusions regarding the safety and effectiveness of approved compounds, which could expedite the development program for any additional indications by potentially decreasing the amount of nonclinical and/or clinical data that we would need to generate in order to obtain FDA approval. This pathway does not, however, expedite the FDA review process timelines.</w:t>
      </w:r>
    </w:p>
    <w:p>
      <w:pPr>
        <w:spacing w:after="0" w:line="144" w:lineRule="exact"/>
        <w:rPr>
          <w:sz w:val="20"/>
          <w:szCs w:val="20"/>
          <w:color w:val="auto"/>
        </w:rPr>
      </w:pPr>
    </w:p>
    <w:p>
      <w:pPr>
        <w:ind w:left="640" w:right="759" w:firstLine="351"/>
        <w:spacing w:after="0" w:line="260" w:lineRule="auto"/>
        <w:rPr>
          <w:sz w:val="20"/>
          <w:szCs w:val="20"/>
          <w:color w:val="auto"/>
        </w:rPr>
      </w:pPr>
      <w:r>
        <w:rPr>
          <w:rFonts w:ascii="Times New Roman" w:cs="Times New Roman" w:eastAsia="Times New Roman" w:hAnsi="Times New Roman"/>
          <w:sz w:val="14"/>
          <w:szCs w:val="14"/>
          <w:color w:val="auto"/>
        </w:rPr>
        <w:t xml:space="preserve">If the FDA does not allow us to proceed under the Section 505(b)(2) regulatory pathway for our current or future intranasal epinephrine technology product candidates, 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for additional indications, we may need to conduct additional nonclinical studies and/or clinical trials, provide additional data and information, and meet additional standards for regulatory approval. If this were to occur, the time and financial resources required to obtain FDA approval for any such product candidates or additional indications, including for urticaria, and complications and risks associated with such product candidates, would likely substantially increase. Moreover, inability to pursue the Section 505(b)(2) regulatory pathway could result in new competitive products reaching the market more quickly than any product candidates we develop, which could adversely impact our competitive position and prospects. We cannot assure you that our current or future intranasal epinephrine technology product candidates 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for additional indications will receive the requisite approval for commercialization.</w:t>
      </w:r>
    </w:p>
    <w:p>
      <w:pPr>
        <w:spacing w:after="0" w:line="149"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In addition, notwithstanding the approval of a number of products by the FDA under Section 505(b)(2), certain pharmaceutical companies and others have objected to the FDA’s interpretation of Section 505(b)(2). If the FDA’s interpretation of Section 505(b)(2) is successfully challenged, the FDA may change its Section 505(b)(2) policies and practices, which could delay or even prevent the FDA from approving any NDA that we submit under Section 505(b)(2). In addition, the pharmaceutical industry is highly competitive, and Section 505(b)(2) NDAs are subject to certain requirements designed to protect the patent rights of sponsors of previously approved drugs that are referenced in a Section 505(b)(2) NDA. These requirements may give rise to patent litigation and mandatory delays in approval of our NDAs for up to 30 months or longer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a new product. Even if the FDA ultimately denies such a petition, the FDA may substantially delay approval while it considers and responds to the petition. Finally, a competitor might receive FDA approval and obtain non-patent market exclusivity before we obtain approval of any such product candidates or additional indications, including urticaria, which could delay approval of potential additional indications, including urticaria, for our intranasal epinephrine technology.</w:t>
      </w:r>
    </w:p>
    <w:p>
      <w:pPr>
        <w:spacing w:after="0" w:line="229" w:lineRule="exact"/>
        <w:rPr>
          <w:sz w:val="20"/>
          <w:szCs w:val="20"/>
          <w:color w:val="auto"/>
        </w:rPr>
      </w:pPr>
    </w:p>
    <w:p>
      <w:pPr>
        <w:ind w:left="640" w:right="7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incur unexpected costs or experience delays in completing, or ultimately be unable to complete, further development and the commercialization of our current and future intranasal epinephrine technology product candidates.*</w:t>
      </w:r>
    </w:p>
    <w:p>
      <w:pPr>
        <w:spacing w:after="0" w:line="34"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To obtain the requisite regulatory approvals to market and commercialize our current and future intranasal epinephrine technology product candidate, including for urticaria, we must demonstrate through extensive nonclinical studies and clinical trials that such product candidates are safe and effective for their intended use in humans. Nonclinical and clinical testing are expensive and can take many years to complete, and their outcome is inherently uncertain. Failure can occur at any time during the clinical trial process and our future clinical trial results may not be successful.</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54" w:name="page55"/>
    <w:bookmarkEnd w:id="54"/>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We may experience delays in completing our clinical trials or nonclinical studies and initiating or completing additional studies or clinical trials. We may also experience numerous unforeseen events during our clinical trials that could delay or prevent our ability to receive marketing approval or commercialize for our current and future intranasal epinephrine technology product candidates, including for urticaria, including:</w:t>
      </w:r>
    </w:p>
    <w:p>
      <w:pPr>
        <w:spacing w:after="0" w:line="54" w:lineRule="exact"/>
        <w:rPr>
          <w:sz w:val="20"/>
          <w:szCs w:val="20"/>
          <w:color w:val="auto"/>
        </w:rPr>
      </w:pPr>
    </w:p>
    <w:p>
      <w:pPr>
        <w:jc w:val="both"/>
        <w:ind w:left="1340" w:right="779" w:hanging="352"/>
        <w:spacing w:after="0" w:line="274" w:lineRule="auto"/>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IRBs, ethics committees or other reviewing bodies may not authorize or issue positive opinions permitting us or our investigators to commence a clinical trial, or to conduct or continue a clinical trial at a prospective or specific trial site;</w:t>
      </w:r>
    </w:p>
    <w:p>
      <w:pPr>
        <w:spacing w:after="0" w:line="50" w:lineRule="exact"/>
        <w:rPr>
          <w:rFonts w:ascii="Times New Roman" w:cs="Times New Roman" w:eastAsia="Times New Roman" w:hAnsi="Times New Roman"/>
          <w:sz w:val="14"/>
          <w:szCs w:val="14"/>
          <w:color w:val="auto"/>
        </w:rPr>
      </w:pPr>
    </w:p>
    <w:p>
      <w:pPr>
        <w:ind w:left="1340" w:right="799" w:hanging="352"/>
        <w:spacing w:after="0" w:line="274" w:lineRule="auto"/>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reach an agreement on acceptable terms with prospective contract research organizations (“CROs”) and clinical trial sites, the terms of which can be subject to extensive negotiation and may vary significantly among different CROs and trial sites;</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delay in receiving study or clinical trial material from outside the United States;</w:t>
      </w:r>
    </w:p>
    <w:p>
      <w:pPr>
        <w:spacing w:after="0" w:line="96" w:lineRule="exact"/>
        <w:rPr>
          <w:rFonts w:ascii="Times New Roman" w:cs="Times New Roman" w:eastAsia="Times New Roman" w:hAnsi="Times New Roman"/>
          <w:sz w:val="14"/>
          <w:szCs w:val="14"/>
          <w:color w:val="auto"/>
        </w:rPr>
      </w:pPr>
    </w:p>
    <w:p>
      <w:pPr>
        <w:ind w:left="1340" w:right="679" w:hanging="352"/>
        <w:spacing w:after="0" w:line="265" w:lineRule="auto"/>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subjects or patients required for clinical trials of our current and future intranasal epinephrine technology product candidates, including for urticaria,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54" w:lineRule="exact"/>
        <w:rPr>
          <w:rFonts w:ascii="Times New Roman" w:cs="Times New Roman" w:eastAsia="Times New Roman" w:hAnsi="Times New Roman"/>
          <w:sz w:val="14"/>
          <w:szCs w:val="14"/>
          <w:color w:val="auto"/>
        </w:rPr>
      </w:pPr>
    </w:p>
    <w:p>
      <w:pPr>
        <w:ind w:left="1340" w:right="939" w:hanging="352"/>
        <w:spacing w:after="0" w:line="295" w:lineRule="auto"/>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third-party contractors, including those manufacturing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conducting clinical trials on our behalf, may fail to comply with regulatory requirements or meet their contractual obligations to us in a timely manner, or at all;</w:t>
      </w:r>
    </w:p>
    <w:p>
      <w:pPr>
        <w:spacing w:after="0" w:line="35" w:lineRule="exact"/>
        <w:rPr>
          <w:rFonts w:ascii="Times New Roman" w:cs="Times New Roman" w:eastAsia="Times New Roman" w:hAnsi="Times New Roman"/>
          <w:sz w:val="14"/>
          <w:szCs w:val="14"/>
          <w:color w:val="auto"/>
        </w:rPr>
      </w:pPr>
    </w:p>
    <w:p>
      <w:pPr>
        <w:jc w:val="both"/>
        <w:ind w:left="1340" w:right="679" w:hanging="352"/>
        <w:spacing w:after="0" w:line="274" w:lineRule="auto"/>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to amend clinical trial protocol(s) submitted to regulatory authorities or conduct additional studies to reflect changes in regulatory requirements or guidance, which we may be required to resubmit to an IRB or ethics committee and regulatory authorities for re-examination;</w:t>
      </w:r>
    </w:p>
    <w:p>
      <w:pPr>
        <w:spacing w:after="0" w:line="50" w:lineRule="exact"/>
        <w:rPr>
          <w:rFonts w:ascii="Times New Roman" w:cs="Times New Roman" w:eastAsia="Times New Roman" w:hAnsi="Times New Roman"/>
          <w:sz w:val="14"/>
          <w:szCs w:val="14"/>
          <w:color w:val="auto"/>
        </w:rPr>
      </w:pPr>
    </w:p>
    <w:p>
      <w:pPr>
        <w:ind w:left="1340" w:right="919" w:hanging="352"/>
        <w:spacing w:after="0" w:line="274" w:lineRule="auto"/>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safety events may occur during the course of a clinical trial and these events may result in the temporary suspension or termination of a clinical trial, or require urgent safety measures or restrictions to protect human subjects during the conduct of a clinical trial;</w:t>
      </w:r>
    </w:p>
    <w:p>
      <w:pPr>
        <w:spacing w:after="0" w:line="50" w:lineRule="exact"/>
        <w:rPr>
          <w:rFonts w:ascii="Times New Roman" w:cs="Times New Roman" w:eastAsia="Times New Roman" w:hAnsi="Times New Roman"/>
          <w:sz w:val="14"/>
          <w:szCs w:val="14"/>
          <w:color w:val="auto"/>
        </w:rPr>
      </w:pPr>
    </w:p>
    <w:p>
      <w:pPr>
        <w:ind w:left="1340" w:right="819" w:hanging="352"/>
        <w:spacing w:after="0" w:line="263" w:lineRule="auto"/>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IRBs, ethics committees or other reviewing bodies may fail to approve or issue positive opinions or subsequently find fault with the manufacturing processes or facilities of third-party manufacturers with which we have entered and may enter into agreement for clinical and commercial supplies, or the supply or quality of our current and future intranasal epinephrine technology product candidates or other materials necessary to conduct clinical trials of our current and future intranasal epinephrine technology product candidates, including for urticaria, may be insufficient, inadequate or not available at an acceptable cost, or we may experience interruptions in supply; and</w:t>
      </w:r>
    </w:p>
    <w:p>
      <w:pPr>
        <w:spacing w:after="0" w:line="58" w:lineRule="exact"/>
        <w:rPr>
          <w:rFonts w:ascii="Times New Roman" w:cs="Times New Roman" w:eastAsia="Times New Roman" w:hAnsi="Times New Roman"/>
          <w:sz w:val="14"/>
          <w:szCs w:val="14"/>
          <w:color w:val="auto"/>
        </w:rPr>
      </w:pPr>
    </w:p>
    <w:p>
      <w:pPr>
        <w:ind w:left="1340" w:right="1279" w:hanging="352"/>
        <w:spacing w:after="0" w:line="292" w:lineRule="auto"/>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policies or regulations of the FDA, the EMA, the EU or any other applicable foreign regulatory authorities to significantly change in a manner rendering our clinical data insufficient for approval.</w:t>
      </w:r>
    </w:p>
    <w:p>
      <w:pPr>
        <w:spacing w:after="0" w:line="124" w:lineRule="exact"/>
        <w:rPr>
          <w:sz w:val="20"/>
          <w:szCs w:val="20"/>
          <w:color w:val="auto"/>
        </w:rPr>
      </w:pPr>
    </w:p>
    <w:p>
      <w:pPr>
        <w:ind w:left="640" w:right="739" w:firstLine="351"/>
        <w:spacing w:after="0" w:line="263" w:lineRule="auto"/>
        <w:rPr>
          <w:sz w:val="20"/>
          <w:szCs w:val="20"/>
          <w:color w:val="auto"/>
        </w:rPr>
      </w:pPr>
      <w:r>
        <w:rPr>
          <w:rFonts w:ascii="Times New Roman" w:cs="Times New Roman" w:eastAsia="Times New Roman" w:hAnsi="Times New Roman"/>
          <w:sz w:val="14"/>
          <w:szCs w:val="14"/>
          <w:color w:val="auto"/>
        </w:rPr>
        <w:t>Regulators, IRBs and ethics committees of the institutions in which clinical trials are being conducted, or data monitoring committees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appear to demonstrate a benefit from using a drug, changes in governmental regulations or administrative actions or lack of adequate funding to continue the clinical trial.</w:t>
      </w:r>
    </w:p>
    <w:p>
      <w:pPr>
        <w:spacing w:after="0" w:line="142"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 xml:space="preserve">Negative or inconclusive impressions of the results from our earlier clinical trials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for the emergency treatment of Type I allergic reactions or any other clinical trial or nonclinical studies in animals that we have conducted, could mandate repeated or additional nonclinical studies or clinical trials and could delay marketing approvals or result in changes to or delays in nonclinical studies or clinical trials of our current and future intranasal epinephrine technology product candidates, including for urticaria. While data from our studies of our intranasal epinephrine technology product candidates demonstrated nasally delivered epinephrine reached blood levels comparable to those of already approved epinephrine injectable products, we do not know whether any future clinical trials or studies that we may conduct will demonstrate adequate efficacy and safety necessary to result in obtaining regulatory approval to market our current and future intranasal epinephrine technology product candidates, including for urticaria. If later stage clinical trials do not produce favorable results that meet regulatory authority criteria, our ability to obtain regulatory approval for our current and future intranasal epinephrine technology product candidate, including for urticaria, may be adversely impacted.</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55" w:name="page56"/>
    <w:bookmarkEnd w:id="55"/>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Our failure to successfully initiate and complete clinical trials of our current and future intranasal epinephrine technology product candidates, including for urticaria, and to demonstrate the efficacy and safety necessary to obtain regulatory approval to market our current and future intranasal epinephrine technology product candidates, including for urticaria, would significantly harm our business. Our product candidate development costs will also increase if we experience delays in testing or regulatory approvals and we may be required to obtain additional funds to complete clinical trials. We cannot assure you that our clinical trials will begin as planned or be completed on schedule, if at all, or that we will not need to restructure our trials after they have begun. Significant clinical trial delays also could shorten any periods during which we may have the exclusive right to commercialize our current and future intranasal epinephrine technology product candidates, including for urticaria, or allow our competitors to bring products to market before we do and impair our ability to successfully commercialize such product candidates, which may harm our business and results of operations. In addition, many of the factors that cause, or lead to, delays of clinical trials may ultimately lead to the denial of regulatory approval of our current and future intranasal epinephrine technology product candidates, including urticaria.</w:t>
      </w:r>
    </w:p>
    <w:p>
      <w:pPr>
        <w:spacing w:after="0" w:line="233" w:lineRule="exact"/>
        <w:rPr>
          <w:sz w:val="20"/>
          <w:szCs w:val="20"/>
          <w:color w:val="auto"/>
        </w:rPr>
      </w:pPr>
    </w:p>
    <w:p>
      <w:pPr>
        <w:ind w:left="640" w:right="65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may not be successful in our efforts to expand our pipeline by identifying additional indications for which to investigate intranasal epinephrine technology in the future or by developing or acquiring new products or product candidates. We may expend our limited resources to pursue a particular indication or formulation for our intranasal epinephrine technology and fail to capitalize on product candidates, indications or formulations that may be more profitable or for which there is a greater likelihood of success.</w:t>
      </w:r>
    </w:p>
    <w:p>
      <w:pPr>
        <w:spacing w:after="0" w:line="228"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 xml:space="preserve">Although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is approved in the United States for the emergency treatment of Type I allergic reactions, including anaphylaxis, in patients who are four years of age and older and weigh 15 kg to less than 30 kg (in the case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1 mg), and in adults and children who weigh 30 kg or greater (in the case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2 mg), and in the EU (under the trade name </w:t>
      </w:r>
      <w:r>
        <w:rPr>
          <w:rFonts w:ascii="Times New Roman" w:cs="Times New Roman" w:eastAsia="Times New Roman" w:hAnsi="Times New Roman"/>
          <w:sz w:val="14"/>
          <w:szCs w:val="14"/>
          <w:i w:val="1"/>
          <w:iCs w:val="1"/>
          <w:color w:val="auto"/>
        </w:rPr>
        <w:t>EURneffy</w:t>
      </w:r>
      <w:r>
        <w:rPr>
          <w:rFonts w:ascii="Times New Roman" w:cs="Times New Roman" w:eastAsia="Times New Roman" w:hAnsi="Times New Roman"/>
          <w:sz w:val="14"/>
          <w:szCs w:val="14"/>
          <w:color w:val="auto"/>
        </w:rPr>
        <w:t xml:space="preserve">, and only in the 2 mg form) for the emergency treatment of allergic reactions (anaphylaxis) due to insect stings or bites, foods, medicinal products and other allergens as well as idiopathic or exercise induced anaphylaxis, for adults and children with a body weight 30 kg or greater, as part of our longer-term growth strategy, we are evaluating and plan to continue to evaluate our intranasal epinephrine technology, including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for use in other potential indications. We may evaluate opportunities to in-license or acquire other development programs,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product candidates, as well as commercial products, including for the treatment of other indications like Type I allergic reactions. Other than our intranasal epinephrine technology, we do not currently have any other programs in development. Our development of our intranasal epinephrine technology for other indications remains at an early clinical development stage and will require significant further investment and regulatory approvals prior to commercialization in such indications. Because we have limited financial and managerial resources, we are focused on specific indications for our intranasal epinephrine technology. As a result, we may fail to generate additional clinical development opportunities for our intranasal epinephrine technology for a number of reasons, including, that our intranasal epinephrine technology may in certain indications, on further study, be shown to have harmful side effects, limited to no efficacy or other characteristics that suggest it is unlikely to receive marketing approval and achieve market acceptance in such additional indications. In addition, we may forgo or delay pursuit of opportunities with other indications that could have had greater commercial potential or likelihood of success. We may not be able to develop our intranasal epinephrine technology for any additional indications based on resource allocation decisions and other reasons. Our resource allocation decisions may cause us to fail to capitalize on viable commercial products or profitable market opportunities. Our spending on current and future research and development activities for specific indications may not yield any commercially viable products.</w:t>
      </w:r>
    </w:p>
    <w:p>
      <w:pPr>
        <w:spacing w:after="0" w:line="149"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Research activities to identify additional indications for our intranasal epinephrine technology require substantial technical, financial and human resources. Additionally, any future potential indications for our intranasal epinephrine technology will require the selection of suitable patients for our clinical trials and additional clinical development, management of clinical, preclinical and manufacturing activities, obtaining regulatory approval, obtaining manufacturing supply, continued build out of a commercial organization, substantial investment and significant marketing efforts before we generate any revenues from product sales in such additional indications, if approved. We are not permitted to market or promote any future indications before we receive regulatory approval from the FDA or comparable foreign regulatory authorities, and we may never receive such regulatory approval. By such time, if ever, as we may receive necessary regulatory approvals for any potential additional indications for our intranasal epinephrine technology, including urticaria, the standard of care for such treatments may have evolved such that it would be necessary to modify our plans for full approval and commercial acceptance of such products may be limited by a change in the standard of care. Additionally, if we receive the necessary approval for any additional indications for our intranasal epinephrine technology, we may not realize the full potential benefits from the sale of our intranasal epinephrine technology for such indications due to our existing collaboration and marketing arrangements.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56" w:name="page57"/>
    <w:bookmarkEnd w:id="56"/>
    <w:p>
      <w:pPr>
        <w:ind w:left="640" w:right="759" w:firstLine="637"/>
        <w:spacing w:after="0" w:line="262" w:lineRule="auto"/>
        <w:rPr>
          <w:sz w:val="20"/>
          <w:szCs w:val="20"/>
          <w:color w:val="auto"/>
        </w:rPr>
      </w:pPr>
      <w:r>
        <w:rPr>
          <w:rFonts w:ascii="Times New Roman" w:cs="Times New Roman" w:eastAsia="Times New Roman" w:hAnsi="Times New Roman"/>
          <w:sz w:val="14"/>
          <w:szCs w:val="14"/>
          <w:color w:val="auto"/>
        </w:rPr>
        <w:t>Even if we develop, license, or otherwise acquire potential product candidates or development programs, and obtain the required financing or establish a collaboration to enable us to conduct pre-clinical and clinical development of such product candidates, we cannot be certain that such development would be successful, or that we will obtain regulatory approval or be able to successfully commercialize any other product candidates and generate revenue. Further, even if any product candidate we develop or acquire was to receive marketing approval, we would continue to bear the risks that the FDA or similar foreign regulatory authorities could revoke, vary or suspend approval of our product candidate or that safety, efficacy, manufacturing or supply issues could arise with such product candidate.</w:t>
      </w:r>
    </w:p>
    <w:p>
      <w:pPr>
        <w:spacing w:after="0" w:line="226" w:lineRule="exact"/>
        <w:rPr>
          <w:sz w:val="20"/>
          <w:szCs w:val="20"/>
          <w:color w:val="auto"/>
        </w:rPr>
      </w:pPr>
    </w:p>
    <w:p>
      <w:pPr>
        <w:ind w:left="64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results of early-stage clinical trials and preclinical studies may not be predictive of future results. Initial data in our clinical trials may not be indicative of results obtained when these trials are completed or in later stage trials.</w:t>
      </w:r>
    </w:p>
    <w:p>
      <w:pPr>
        <w:spacing w:after="0" w:line="34" w:lineRule="exact"/>
        <w:rPr>
          <w:sz w:val="20"/>
          <w:szCs w:val="20"/>
          <w:color w:val="auto"/>
        </w:rPr>
      </w:pPr>
    </w:p>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auto"/>
        </w:rPr>
        <w:t>The results of preclinical studies may not be predictive of the results of clinical trials, and the results of any early-stage clinical trials we commence may not be predictive of the results of the later-stage clinical trials. In addition, initial data in clinical trials may not be indicative of results obtained when such trials are completed. There can be no assurance that any of our ongoing, planned or future clinical trials will ultimately be successful or support further clinical development or regulatory approval of our current or future intranasal epinephrine technology product candidates. There is a high failure rate for drugs and biologics candidates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have a material adverse effect on our business and operating results.</w:t>
      </w:r>
    </w:p>
    <w:p>
      <w:pPr>
        <w:spacing w:after="0" w:line="228" w:lineRule="exact"/>
        <w:rPr>
          <w:sz w:val="20"/>
          <w:szCs w:val="20"/>
          <w:color w:val="auto"/>
        </w:rPr>
      </w:pPr>
    </w:p>
    <w:p>
      <w:pPr>
        <w:ind w:left="64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8"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w:t>
      </w:r>
    </w:p>
    <w:p>
      <w:pPr>
        <w:spacing w:after="0" w:line="226" w:lineRule="exact"/>
        <w:rPr>
          <w:sz w:val="20"/>
          <w:szCs w:val="20"/>
          <w:color w:val="auto"/>
        </w:rPr>
      </w:pPr>
    </w:p>
    <w:p>
      <w:pPr>
        <w:ind w:left="640" w:right="8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neffy or our current or future intranasal epinephrine technology product candidates may cause undesirable side effects, adverse events, or have other properties that could delay or prevent its regulatory approval, limit the commercial profile of an approved label, or result in significant negative consequences following regulatory approval, if obtained.*</w:t>
      </w:r>
    </w:p>
    <w:p>
      <w:pPr>
        <w:spacing w:after="0" w:line="46"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 xml:space="preserve">Undesirable side effects or adverse events caused by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could cause us or regulatory authorities to interrupt, delay or halt clinical trials and could result in a more restrictive label or the delay, denial, or withdrawal of regulatory approval by the FDA, the European Commission or comparable foreign regulatory authorities. Although our clinical studies to date have demonstrated that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is well-tolerated by patients with no serious treatment-related adverse events, and reported adverse events generally no more severe than grade 1 and comparable with injection products, and with no meaningful pain or irritation based on formal scoring, results of our ongoing or future clinical trials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could reveal a high and unacceptable severity and prevalence of side effects, adverse events, or unexpected characteristics. Many compounds that initially showed promise in clinical or earlier stage testing are later found to cause undesirable or unexpected side effects or adverse events that prevented further development of the compound.</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6" w:right="1440" w:bottom="1440" w:gutter="0" w:footer="0" w:header="0"/>
        </w:sectPr>
      </w:pPr>
    </w:p>
    <w:bookmarkStart w:id="57" w:name="page58"/>
    <w:bookmarkEnd w:id="57"/>
    <w:p>
      <w:pPr>
        <w:ind w:left="640" w:right="719" w:firstLine="351"/>
        <w:spacing w:after="0" w:line="258" w:lineRule="auto"/>
        <w:rPr>
          <w:sz w:val="20"/>
          <w:szCs w:val="20"/>
          <w:color w:val="auto"/>
        </w:rPr>
      </w:pPr>
      <w:r>
        <w:rPr>
          <w:rFonts w:ascii="Times New Roman" w:cs="Times New Roman" w:eastAsia="Times New Roman" w:hAnsi="Times New Roman"/>
          <w:sz w:val="14"/>
          <w:szCs w:val="14"/>
          <w:color w:val="auto"/>
        </w:rPr>
        <w:t xml:space="preserve">If unacceptable side effects or adverse events are observed following the commercialization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including for urticaria, we, the FDA or comparable foreign regulatory authorities, the IRBs, or independent ethics committees at the institutions in which our trials are conducted, or the independent safety monitoring committee could suspend or terminate our clinical trials or regulatory authorities could order us to cease clinical trials, restrict us 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including withdrawing the marketing approval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or deny approval for or all targeted indications. Treatment-emergent side effects and adverse events that are deemed to be drug-related could also affect subject recruitment or the ability of enrolled subjects to complete the trial or result in potential product liability claims, an unwillingness of physicians to prescribe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for approved indications, patients’ unwillingness to purchase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or payors’ willingness to cover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Undesirable side effects or adverse events resulting from the use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(whether by patients in our clinical studies or through the commercialization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could adversely affect enrollment in clinical trials, regulatory approval and commercialization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Additionally, there may be negative findings regarding components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by other parties. Any negative findings by third parties may impact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for its initially approved indications and labeling, or the future approvability or labeling of our current or future intranasal epinephrine technology product candidates, including for urticaria. In addition, all side effects and adverse events may not be appropriately recognized or managed by the treating medical staff. Inadequate training in recognizing or managing the potential side effects and adverse events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could result in patient injury or death. Any of these occurrences may harm our business, financial condition, and prospects significantly.</w:t>
      </w:r>
    </w:p>
    <w:p>
      <w:pPr>
        <w:spacing w:after="0" w:line="320" w:lineRule="exact"/>
        <w:rPr>
          <w:sz w:val="20"/>
          <w:szCs w:val="20"/>
          <w:color w:val="auto"/>
        </w:rPr>
      </w:pPr>
    </w:p>
    <w:p>
      <w:pPr>
        <w:jc w:val="both"/>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In addition, clinical trials of our intranasal epinephrine technology product candidates are and have been conducted in carefully defined sets of patients who have agreed to enter into clinical trials. Consequently, it is possible that our clinical trials, or those of any future collaborator, may indicate an apparent positive effect of our intranasal epinephrine technology product candidates that is greater than the actual positive effect, if any, or alternatively fail to identify undesirable side effects.</w:t>
      </w:r>
    </w:p>
    <w:p>
      <w:pPr>
        <w:spacing w:after="0" w:line="140"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 xml:space="preserve">Finally, our intranasal epinephrine technology product candidates are comprised of epinephrine and Intravail that is delivered via an intranasal device. Intra-muscular injection of epinephrine has been approved by the FDA and other regulatory authorities for the emergency treatment of Type I allergic reactions. In addition, Intravail has previously been included in the formulations of FDA approved products such as VALTOCO and TOSYMRA nasal sprays. The intranasal apparatus we use to deliver our intranasal epinephrine technology product candidates has been used to deliver several drugs approved by the FDA and other regulatory authorities, including VALTOCO, TOSYMRA and NARCAN. Even though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has received marketing approval for its initial indication, we are subject to the risks that the FDA, European Commission or similar regulatory authorities could revoke approval of intra-muscular epinephrine injection products, other drug formulations containing Intravail or utilizing the same intranasal apparatus, or that efficacy, manufacturing or supply issues could arise with epinephrine API, Intravail or our intranasal apparatus. This could result in our own products being removed from the market or being less commercially successful.</w:t>
      </w:r>
    </w:p>
    <w:p>
      <w:pPr>
        <w:spacing w:after="0" w:line="228" w:lineRule="exact"/>
        <w:rPr>
          <w:sz w:val="20"/>
          <w:szCs w:val="20"/>
          <w:color w:val="auto"/>
        </w:rPr>
      </w:pPr>
    </w:p>
    <w:p>
      <w:pPr>
        <w:jc w:val="both"/>
        <w:ind w:left="640" w:right="7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received Fast Track designation for neffy in the United States and may in the future pursue Fast Track designation for other product candidates that we may develop, but we might not receive such future designations, and Fast Track designations may not lead to a faster development or regulatory review or approval process.</w:t>
      </w:r>
    </w:p>
    <w:p>
      <w:pPr>
        <w:spacing w:after="0" w:line="48"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 xml:space="preserve">If the FDA determines that a product candidate is intended for the treatment of a serious or life-threatening condition and preclinical or clinical data demonstrate the potential to address an unmet medical need for this condition, the FDA may grant a product candidate Fast Track designation. Fast Track designation is intended to expedite or facilitate the process for reviewing new drug products meeting the specified criteria and gives the sponsor of a Fast Track product opportunities for more frequent interactions with the applicable FDA review team during product development and, once an NDA is submitted, the product candidate may be eligible for priority review. We were granted Fast Track designation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for the emergency treatment of Type I allergic reactions and may in the future request Fast Track designation for additional indications for our current or future intranasal epinephrine technology product candidates, however, we cannot assume that any such applications will meet the criteria for that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4" w:right="1440" w:bottom="1440" w:gutter="0" w:footer="0" w:header="0"/>
        </w:sectPr>
      </w:pPr>
    </w:p>
    <w:bookmarkStart w:id="58" w:name="page59"/>
    <w:bookmarkEnd w:id="58"/>
    <w:p>
      <w:pPr>
        <w:ind w:left="640" w:right="7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may seek priority review by the FDA for potential additional indications, including urticaria, for our current or future intranasal epinephrine technology product candidates, and we may be unsuccessful. If we are successful, the designation may not actually lead to a faster development or regulatory review or approval process.</w:t>
      </w:r>
    </w:p>
    <w:p>
      <w:pPr>
        <w:spacing w:after="0" w:line="48"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A priority review designation means that the goal for the FDA to review an application is six months, rather than the standard review period of ten months. We may in the future request priority review designation for potential additional indications, including urticaria, for our current or future intranasal epinephrine technology product candidates, however, we cannot assume that any application for priority review will meet the criteria for that designation. A product is eligible for priority review if it is designed to treat a serious condition, and if approved, would provide a significant improvement in the treatment, diagnosis or prevention of a serious condition compared to marketed products.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standard FDA review and approval. Receiving priority review from the FDA does not guarantee approval within the six-month review cycle or at all.</w:t>
      </w:r>
    </w:p>
    <w:p>
      <w:pPr>
        <w:spacing w:after="0" w:line="228" w:lineRule="exact"/>
        <w:rPr>
          <w:sz w:val="20"/>
          <w:szCs w:val="20"/>
          <w:color w:val="auto"/>
        </w:rPr>
      </w:pPr>
    </w:p>
    <w:p>
      <w:pPr>
        <w:ind w:left="640" w:right="10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Product liability lawsuits against us or any of our current and future licensing and collaboration partners could divert our resources and attention, cause us to incur substantial liabilities and limit commercialization of neffy or our current or future intranasal epinephrine technology product candidates.</w:t>
      </w:r>
    </w:p>
    <w:p>
      <w:pPr>
        <w:spacing w:after="0" w:line="48"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 xml:space="preserve">We are exposed to potential product liability and professional indemnity risks that are inherent in the research, development, manufacturing, marketing, commercialization, and use of pharmaceutical products. Currently, we have one product,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that has been approved for commercial sale. The sale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the use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by us and any current and future licensing and collaboration partners in clinical trials may expose us to liability claims. Product liability claims may be brought against us or our partners by participants enrolled in our clinical trials, patients, health care providers, pharmaceutical companies, our current and future licensing and collaboration partners or others using, administering, or selling any of our future products, if approved. If we cannot successfully defend ourselves against any such claims, we may incur substantial liabilities or be required to limit commercialization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Regardless of the merits or eventual outcome, liability claims may result in:</w:t>
      </w:r>
    </w:p>
    <w:p>
      <w:pPr>
        <w:spacing w:after="0" w:line="61" w:lineRule="exact"/>
        <w:rPr>
          <w:sz w:val="20"/>
          <w:szCs w:val="20"/>
          <w:color w:val="auto"/>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decreased demand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w:t>
      </w:r>
    </w:p>
    <w:p>
      <w:pPr>
        <w:spacing w:after="0" w:line="98"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clinical trial sites or entire trial programs;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litigation costs, including with respect to potential class action lawsuits;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or costly settlements with, patients or other claimants;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recalls or a change in the indications for which they may be used;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 and scientific resources from our business operations; and</w:t>
      </w:r>
    </w:p>
    <w:p>
      <w:pPr>
        <w:spacing w:after="0" w:line="94" w:lineRule="exact"/>
        <w:rPr>
          <w:rFonts w:ascii="Times New Roman" w:cs="Times New Roman" w:eastAsia="Times New Roman" w:hAnsi="Times New Roman"/>
          <w:sz w:val="14"/>
          <w:szCs w:val="14"/>
          <w:color w:val="auto"/>
        </w:rPr>
      </w:pPr>
    </w:p>
    <w:p>
      <w:pPr>
        <w:ind w:left="1340" w:right="1119" w:hanging="352"/>
        <w:spacing w:after="0" w:line="295" w:lineRule="auto"/>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inability to successfully 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w:t>
      </w:r>
    </w:p>
    <w:p>
      <w:pPr>
        <w:spacing w:after="0" w:line="120"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 xml:space="preserve">We face an inherent risk of product liability as a result of the commercialization and clinical testing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Although the clinical trial process is designed to identify and assess potential side effects and adverse events, clinical development does not always fully characterize the safety and efficacy profile of a new drug, and it is always possible that a drug, even after regulatory approval, may exhibit unforeseen side effects. If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causes adverse events or side effects, we may be exposed to substantial liabilities. Physicians may not prescribe or patients may not use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for its approved indications or in accordance with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’s our current or future intranasal epinephrine technology product candidates’ instructions or any warnings that identify known potential adverse effects, side effects, and patients who should not use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We are highly dependent upon consumer perceptions of us regarding the safety and efficacy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We could be adversely affected if we are subject to negative publicity associated with illness or other adverse effects resulting from patients’ use or misuse of our products or any similar products distributed by other companies.</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59" w:name="page60"/>
    <w:bookmarkEnd w:id="59"/>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 xml:space="preserve">Although we maintain product liability insurance coverage in the amount of up to $10.0 million in the aggregate, including commercial product liability and clinical trial liability, this insurance may not fully cover potential liabilities that we may incur. The cost of any product liability litigation or other proceeding, even if resolved in our favor, could be substantial.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which could harm our business, financial condition, results of operations and prospects.</w:t>
      </w:r>
    </w:p>
    <w:p>
      <w:pPr>
        <w:spacing w:after="0" w:line="226" w:lineRule="exact"/>
        <w:rPr>
          <w:sz w:val="20"/>
          <w:szCs w:val="20"/>
          <w:color w:val="auto"/>
        </w:rPr>
      </w:pPr>
    </w:p>
    <w:p>
      <w:pPr>
        <w:ind w:left="640" w:right="7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53" w:lineRule="exact"/>
        <w:rPr>
          <w:sz w:val="20"/>
          <w:szCs w:val="20"/>
          <w:color w:val="auto"/>
        </w:rPr>
      </w:pPr>
    </w:p>
    <w:p>
      <w:pPr>
        <w:ind w:left="640" w:right="779" w:firstLine="351"/>
        <w:spacing w:after="0" w:line="260" w:lineRule="auto"/>
        <w:rPr>
          <w:sz w:val="20"/>
          <w:szCs w:val="20"/>
          <w:color w:val="auto"/>
        </w:rPr>
      </w:pPr>
      <w:r>
        <w:rPr>
          <w:rFonts w:ascii="Times New Roman" w:cs="Times New Roman" w:eastAsia="Times New Roman" w:hAnsi="Times New Roman"/>
          <w:sz w:val="14"/>
          <w:szCs w:val="14"/>
          <w:color w:val="auto"/>
        </w:rPr>
        <w:t>In the ordinary course of our business, we and the third parties with whom we work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sensitive third-party data, business plans, transactions, and financial information (collectively, “sensitive data”). As a result, we and such third parties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318" w:lineRule="exact"/>
        <w:rPr>
          <w:sz w:val="20"/>
          <w:szCs w:val="20"/>
          <w:color w:val="auto"/>
        </w:rPr>
      </w:pPr>
    </w:p>
    <w:p>
      <w:pPr>
        <w:ind w:left="640" w:right="819" w:firstLine="351"/>
        <w:spacing w:after="0" w:line="268" w:lineRule="auto"/>
        <w:rPr>
          <w:sz w:val="20"/>
          <w:szCs w:val="20"/>
          <w:color w:val="auto"/>
        </w:rPr>
      </w:pPr>
      <w:r>
        <w:rPr>
          <w:rFonts w:ascii="Times New Roman" w:cs="Times New Roman" w:eastAsia="Times New Roman" w:hAnsi="Times New Roman"/>
          <w:sz w:val="14"/>
          <w:szCs w:val="14"/>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which could materially disrupt our systems and operations, supply chain, and ability to conduct our business.</w:t>
      </w:r>
    </w:p>
    <w:p>
      <w:pPr>
        <w:spacing w:after="0" w:line="140"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We and the third parties with whom we work are subject to a variety of evolving threats, including but not limited to social-engineering attacks (including through deep fakes, which may be increasingly more difficult to identify as a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w:t>
      </w:r>
    </w:p>
    <w:p>
      <w:pPr>
        <w:spacing w:after="0" w:line="144"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40"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spacing w:after="0" w:line="140"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60" w:name="page61"/>
    <w:bookmarkEnd w:id="60"/>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sensitive data in a variety of contexts, including, without limitation, cloud-based infrastructure, data center facilities, encryption and authentication technology, employee email, content delivery to customers, and other functions. We also rely on our licensing and collaboration partners, our CROs, third-party logistics providers, distributors and other contractors and consultants to utilize information technology systems and networks to process, transmit and store electronic information in connection with our business activities, including in connection with our clinical trials.</w:t>
      </w:r>
    </w:p>
    <w:p>
      <w:pPr>
        <w:spacing w:after="0" w:line="144"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Our ability to monitor these third parties’ information security practices is limited, and these third parties may not have adequate information security measures in place. If our third-party service providers experience a security incident or other interruption, we could, and in certain cases have, experienced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spacing w:after="0" w:line="277" w:lineRule="exact"/>
        <w:rPr>
          <w:sz w:val="20"/>
          <w:szCs w:val="20"/>
          <w:color w:val="auto"/>
        </w:rPr>
      </w:pPr>
    </w:p>
    <w:p>
      <w:pPr>
        <w:ind w:left="640" w:right="659" w:firstLine="397"/>
        <w:spacing w:after="0" w:line="261" w:lineRule="auto"/>
        <w:rPr>
          <w:sz w:val="20"/>
          <w:szCs w:val="20"/>
          <w:color w:val="auto"/>
        </w:rPr>
      </w:pPr>
      <w:r>
        <w:rPr>
          <w:rFonts w:ascii="Times New Roman" w:cs="Times New Roman" w:eastAsia="Times New Roman" w:hAnsi="Times New Roman"/>
          <w:sz w:val="14"/>
          <w:szCs w:val="14"/>
          <w:color w:val="auto"/>
        </w:rPr>
        <w:t>Any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our sensitive data or our information technology systems, or those of the third parties with whom we work. For example, we have been the target of unsuccessful phishing attempts in the past, as well as successful phishing attempts that did not have a material adverse effect, and expect such attempts will continue in the future. In addition, we have become aware of certain security incidents whereby vendor email accounts have been hacked and the bad actors impersonate our vendors in email communications with us. None of these incidents have had a material adverse effect on our business. A security incident or other interruption could disrupt our ability (and that of third parties with whom we work) to operate our business.</w:t>
      </w:r>
    </w:p>
    <w:p>
      <w:pPr>
        <w:spacing w:after="0" w:line="275" w:lineRule="exact"/>
        <w:rPr>
          <w:sz w:val="20"/>
          <w:szCs w:val="20"/>
          <w:color w:val="auto"/>
        </w:rPr>
      </w:pPr>
    </w:p>
    <w:p>
      <w:pPr>
        <w:ind w:left="640" w:right="839" w:firstLine="397"/>
        <w:spacing w:after="0" w:line="268" w:lineRule="auto"/>
        <w:rPr>
          <w:sz w:val="20"/>
          <w:szCs w:val="20"/>
          <w:color w:val="auto"/>
        </w:rPr>
      </w:pPr>
      <w:r>
        <w:rPr>
          <w:rFonts w:ascii="Times New Roman" w:cs="Times New Roman" w:eastAsia="Times New Roman" w:hAnsi="Times New Roman"/>
          <w:sz w:val="14"/>
          <w:szCs w:val="14"/>
          <w:color w:val="auto"/>
        </w:rPr>
        <w:t>We may expend significant resources or modify our business activities (including our clinical trial activities) to try to protect against security incidents. Additionally, certain data privacy and security obligations have required us to implement and maintain specific security measures or industry-standard or reasonable security measures to protect our information technology systems and sensitive data.</w:t>
      </w:r>
    </w:p>
    <w:p>
      <w:pPr>
        <w:spacing w:after="0" w:line="97" w:lineRule="exact"/>
        <w:rPr>
          <w:sz w:val="20"/>
          <w:szCs w:val="20"/>
          <w:color w:val="auto"/>
        </w:rPr>
      </w:pPr>
    </w:p>
    <w:p>
      <w:pPr>
        <w:ind w:left="640" w:right="679" w:firstLine="397"/>
        <w:spacing w:after="0" w:line="262" w:lineRule="auto"/>
        <w:rPr>
          <w:sz w:val="20"/>
          <w:szCs w:val="20"/>
          <w:color w:val="auto"/>
        </w:rPr>
      </w:pPr>
      <w:r>
        <w:rPr>
          <w:rFonts w:ascii="Times New Roman" w:cs="Times New Roman" w:eastAsia="Times New Roman" w:hAnsi="Times New Roman"/>
          <w:sz w:val="14"/>
          <w:szCs w:val="14"/>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Vulnerabilities could be exploited and result in a security incident. Any unremediated critical or high risk vulnerabilities could pose material risks to our business. Further, we have and may in the future experience delays in developing and deploying remedial measures designed to address any such identified vulnerabilities.</w:t>
      </w:r>
    </w:p>
    <w:p>
      <w:pPr>
        <w:spacing w:after="0" w:line="277" w:lineRule="exact"/>
        <w:rPr>
          <w:sz w:val="20"/>
          <w:szCs w:val="20"/>
          <w:color w:val="auto"/>
        </w:rPr>
      </w:pPr>
    </w:p>
    <w:p>
      <w:pPr>
        <w:ind w:left="640" w:right="719" w:firstLine="397"/>
        <w:spacing w:after="0" w:line="268" w:lineRule="auto"/>
        <w:rPr>
          <w:sz w:val="20"/>
          <w:szCs w:val="20"/>
          <w:color w:val="auto"/>
        </w:rPr>
      </w:pPr>
      <w:r>
        <w:rPr>
          <w:rFonts w:ascii="Times New Roman" w:cs="Times New Roman" w:eastAsia="Times New Roman" w:hAnsi="Times New Roman"/>
          <w:sz w:val="14"/>
          <w:szCs w:val="14"/>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spacing w:after="0" w:line="140" w:lineRule="exact"/>
        <w:rPr>
          <w:sz w:val="20"/>
          <w:szCs w:val="20"/>
          <w:color w:val="auto"/>
        </w:rPr>
      </w:pPr>
    </w:p>
    <w:p>
      <w:pPr>
        <w:ind w:left="640" w:right="779" w:firstLine="351"/>
        <w:spacing w:after="0" w:line="260" w:lineRule="auto"/>
        <w:rPr>
          <w:sz w:val="20"/>
          <w:szCs w:val="20"/>
          <w:color w:val="auto"/>
        </w:rPr>
      </w:pPr>
      <w:r>
        <w:rPr>
          <w:rFonts w:ascii="Times New Roman" w:cs="Times New Roman" w:eastAsia="Times New Roman" w:hAnsi="Times New Roman"/>
          <w:sz w:val="14"/>
          <w:szCs w:val="14"/>
          <w:color w:val="auto"/>
        </w:rPr>
        <w:t xml:space="preserve">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negatively impact our ability to operate our business. For example, the loss of clinical trial data from completed, ongoing or future clinical trials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w:t>
      </w:r>
    </w:p>
    <w:p>
      <w:pPr>
        <w:spacing w:after="0" w:line="146"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61" w:name="page62"/>
    <w:bookmarkEnd w:id="61"/>
    <w:p>
      <w:pPr>
        <w:ind w:left="640" w:right="859" w:firstLine="351"/>
        <w:spacing w:after="0" w:line="274" w:lineRule="auto"/>
        <w:rPr>
          <w:sz w:val="20"/>
          <w:szCs w:val="20"/>
          <w:color w:val="auto"/>
        </w:rPr>
      </w:pPr>
      <w:r>
        <w:rPr>
          <w:rFonts w:ascii="Times New Roman" w:cs="Times New Roman" w:eastAsia="Times New Roman" w:hAnsi="Times New Roman"/>
          <w:sz w:val="14"/>
          <w:szCs w:val="14"/>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218" w:lineRule="exact"/>
        <w:rPr>
          <w:sz w:val="20"/>
          <w:szCs w:val="20"/>
          <w:color w:val="auto"/>
        </w:rPr>
      </w:pPr>
    </w:p>
    <w:p>
      <w:pPr>
        <w:ind w:left="640" w:right="7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International trade policies, including tariffs, sanctions and trade barriers may adversely affect our business, financial condition, results of operations and prospects.*</w:t>
      </w:r>
    </w:p>
    <w:p>
      <w:pPr>
        <w:spacing w:after="0" w:line="34" w:lineRule="exact"/>
        <w:rPr>
          <w:sz w:val="20"/>
          <w:szCs w:val="20"/>
          <w:color w:val="auto"/>
        </w:rPr>
      </w:pPr>
    </w:p>
    <w:p>
      <w:pPr>
        <w:ind w:left="640" w:right="719" w:firstLine="322"/>
        <w:spacing w:after="0" w:line="265" w:lineRule="auto"/>
        <w:rPr>
          <w:sz w:val="20"/>
          <w:szCs w:val="20"/>
          <w:color w:val="auto"/>
        </w:rPr>
      </w:pPr>
      <w:r>
        <w:rPr>
          <w:rFonts w:ascii="Times New Roman" w:cs="Times New Roman" w:eastAsia="Times New Roman" w:hAnsi="Times New Roman"/>
          <w:sz w:val="14"/>
          <w:szCs w:val="14"/>
          <w:color w:val="auto"/>
        </w:rPr>
        <w:t xml:space="preserve">We operate in a global economy, and our business depends on a global supply chain for the development, manufacturing, and distribution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and for the advancement of our clinical development programs.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w:t>
      </w:r>
    </w:p>
    <w:p>
      <w:pPr>
        <w:spacing w:after="0" w:line="142" w:lineRule="exact"/>
        <w:rPr>
          <w:sz w:val="20"/>
          <w:szCs w:val="20"/>
          <w:color w:val="auto"/>
        </w:rPr>
      </w:pPr>
    </w:p>
    <w:p>
      <w:pPr>
        <w:ind w:left="640" w:right="699" w:firstLine="322"/>
        <w:spacing w:after="0" w:line="262" w:lineRule="auto"/>
        <w:rPr>
          <w:sz w:val="20"/>
          <w:szCs w:val="20"/>
          <w:color w:val="auto"/>
        </w:rPr>
      </w:pPr>
      <w:r>
        <w:rPr>
          <w:rFonts w:ascii="Times New Roman" w:cs="Times New Roman" w:eastAsia="Times New Roman" w:hAnsi="Times New Roman"/>
          <w:sz w:val="14"/>
          <w:szCs w:val="14"/>
          <w:color w:val="auto"/>
        </w:rPr>
        <w:t xml:space="preserve">We source raw materials, active pharmaceutical ingredient (“API”) and other important components related to the manufacture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intranasal epinephrine technology product candidates, including Intravail and our nasal sprayer apparatus, from international suppliers located in the European Union. Although we anticipate that our current supply of materials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product candidates will be sufficient for at least the next 18-24 months, tariff policies, particularly those affecting the Europe Union and pharmaceutical products could materially increase our costs and reduce our margins, including as a result of our inability to adjust pricing in formulary-based markets. Recent and potential future changes in international trade policies, particularly regarding pharmaceutical-specific tariffs, present material risks to our operations and financial performance.</w:t>
      </w:r>
    </w:p>
    <w:p>
      <w:pPr>
        <w:spacing w:after="0" w:line="144" w:lineRule="exact"/>
        <w:rPr>
          <w:sz w:val="20"/>
          <w:szCs w:val="20"/>
          <w:color w:val="auto"/>
        </w:rPr>
      </w:pPr>
    </w:p>
    <w:p>
      <w:pPr>
        <w:ind w:left="640" w:right="679" w:firstLine="322"/>
        <w:spacing w:after="0" w:line="260" w:lineRule="auto"/>
        <w:rPr>
          <w:sz w:val="20"/>
          <w:szCs w:val="20"/>
          <w:color w:val="auto"/>
        </w:rPr>
      </w:pPr>
      <w:r>
        <w:rPr>
          <w:rFonts w:ascii="Times New Roman" w:cs="Times New Roman" w:eastAsia="Times New Roman" w:hAnsi="Times New Roman"/>
          <w:sz w:val="14"/>
          <w:szCs w:val="14"/>
          <w:color w:val="auto"/>
        </w:rPr>
        <w:t>Recent policy discussions have included potential targeted tariffs or other trade measures specifically aimed at pharmaceutical products and ingredients as part of broader healthcare cost control or national security initiatives. Unlike consumer goods, pharmaceuticals face unique regulatory constraints that make rapid supply chain adjustments particularly difficult and costly. Should additional tariffs be imposed, including those specifically targeting pharmaceutical imports, our production costs could rise significantly, and it would be difficult and costly to qualify alternative sources within another country with a lower tariff rate or within the United States, as developing and qualifying alternative sources typically requires at least 18-24 months and substantial investment and regulatory approvals. Moreover, the dynamic and unpredictable tariff and trade landscape creates substantial uncertainty and significant planning challenges for our operations. Changes in tariff classifications, country-of-origin requirements, or customs procedures can occur with limited notice. This uncertainty complicates our long-term investment decisions regarding manufacturing facilities, supply chain optimization, and research and development locations.</w:t>
      </w:r>
    </w:p>
    <w:p>
      <w:pPr>
        <w:spacing w:after="0" w:line="146" w:lineRule="exact"/>
        <w:rPr>
          <w:sz w:val="20"/>
          <w:szCs w:val="20"/>
          <w:color w:val="auto"/>
        </w:rPr>
      </w:pPr>
    </w:p>
    <w:p>
      <w:pPr>
        <w:ind w:left="640" w:right="719" w:firstLine="322"/>
        <w:spacing w:after="0" w:line="262" w:lineRule="auto"/>
        <w:rPr>
          <w:sz w:val="20"/>
          <w:szCs w:val="20"/>
          <w:color w:val="auto"/>
        </w:rPr>
      </w:pPr>
      <w:r>
        <w:rPr>
          <w:rFonts w:ascii="Times New Roman" w:cs="Times New Roman" w:eastAsia="Times New Roman" w:hAnsi="Times New Roman"/>
          <w:sz w:val="14"/>
          <w:szCs w:val="14"/>
          <w:color w:val="auto"/>
        </w:rPr>
        <w:t xml:space="preserve">Unlike many industries, our ability to pass increased costs to customers is limited by the structure of pharmaceutical pricing and reimbursement systems.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is included in formularies with pricing established through annual or multi-year contracts with commercial, third-party payors and pharmacy benefit managers, and reimbursement methodologies established by government programs, such as Medicare. These arrangements typically include fixed pricing terms that were negotiated prior to the implementation of the recently announced tariffs. As a result, and depending on the timing and scope of the implementation of these tariffs, cost increases due to tariffs may be difficult or impossible to pass through to customers until the next negotiation cycle, which could be up to 36 months away.</w:t>
      </w:r>
    </w:p>
    <w:p>
      <w:pPr>
        <w:spacing w:after="0" w:line="144" w:lineRule="exact"/>
        <w:rPr>
          <w:sz w:val="20"/>
          <w:szCs w:val="20"/>
          <w:color w:val="auto"/>
        </w:rPr>
      </w:pPr>
    </w:p>
    <w:p>
      <w:pPr>
        <w:ind w:left="640" w:right="659" w:firstLine="322"/>
        <w:spacing w:after="0" w:line="263" w:lineRule="auto"/>
        <w:rPr>
          <w:sz w:val="20"/>
          <w:szCs w:val="20"/>
          <w:color w:val="auto"/>
        </w:rPr>
      </w:pPr>
      <w:r>
        <w:rPr>
          <w:rFonts w:ascii="Times New Roman" w:cs="Times New Roman" w:eastAsia="Times New Roman" w:hAnsi="Times New Roman"/>
          <w:sz w:val="14"/>
          <w:szCs w:val="14"/>
          <w:color w:val="auto"/>
        </w:rPr>
        <w:t>Current or future tariffs may also result in increased research and development expenses, including with respect to increased costs associated with raw materials, API, laboratory equipment and research materials and components.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and negatively impact our business, results of operations, financial condition and growth prospects.</w:t>
      </w:r>
    </w:p>
    <w:p>
      <w:pPr>
        <w:spacing w:after="0" w:line="144" w:lineRule="exact"/>
        <w:rPr>
          <w:sz w:val="20"/>
          <w:szCs w:val="20"/>
          <w:color w:val="auto"/>
        </w:rPr>
      </w:pPr>
    </w:p>
    <w:p>
      <w:pPr>
        <w:ind w:left="640" w:right="699" w:firstLine="322"/>
        <w:spacing w:after="0" w:line="260" w:lineRule="auto"/>
        <w:rPr>
          <w:sz w:val="20"/>
          <w:szCs w:val="20"/>
          <w:color w:val="auto"/>
        </w:rPr>
      </w:pPr>
      <w:r>
        <w:rPr>
          <w:rFonts w:ascii="Times New Roman" w:cs="Times New Roman" w:eastAsia="Times New Roman" w:hAnsi="Times New Roman"/>
          <w:sz w:val="14"/>
          <w:szCs w:val="14"/>
          <w:color w:val="auto"/>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62" w:name="page63"/>
    <w:bookmarkEnd w:id="62"/>
    <w:p>
      <w:pPr>
        <w:ind w:left="640" w:right="659" w:firstLine="322"/>
        <w:spacing w:after="0" w:line="261" w:lineRule="auto"/>
        <w:rPr>
          <w:sz w:val="20"/>
          <w:szCs w:val="20"/>
          <w:color w:val="auto"/>
        </w:rPr>
      </w:pPr>
      <w:r>
        <w:rPr>
          <w:rFonts w:ascii="Times New Roman" w:cs="Times New Roman" w:eastAsia="Times New Roman" w:hAnsi="Times New Roman"/>
          <w:sz w:val="14"/>
          <w:szCs w:val="14"/>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report.</w:t>
      </w:r>
    </w:p>
    <w:p>
      <w:pPr>
        <w:spacing w:after="0" w:line="228" w:lineRule="exact"/>
        <w:rPr>
          <w:sz w:val="20"/>
          <w:szCs w:val="20"/>
          <w:color w:val="auto"/>
        </w:rPr>
      </w:pPr>
    </w:p>
    <w:p>
      <w:pPr>
        <w:jc w:val="both"/>
        <w:ind w:left="640" w:right="11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A pandemic, epidemic, or outbreak of an infectious disease may materially and adversely affect our business, including our nonclinical studies, clinical trials, third parties on whom we rely, our supply chain, our ability to raise capital, our ability to conduct regular business and our financial results.</w:t>
      </w:r>
    </w:p>
    <w:p>
      <w:pPr>
        <w:spacing w:after="0" w:line="48" w:lineRule="exact"/>
        <w:rPr>
          <w:sz w:val="20"/>
          <w:szCs w:val="20"/>
          <w:color w:val="auto"/>
        </w:rPr>
      </w:pPr>
    </w:p>
    <w:p>
      <w:pPr>
        <w:ind w:left="640" w:right="739" w:firstLine="351"/>
        <w:spacing w:after="0" w:line="258" w:lineRule="auto"/>
        <w:rPr>
          <w:sz w:val="20"/>
          <w:szCs w:val="20"/>
          <w:color w:val="auto"/>
        </w:rPr>
      </w:pPr>
      <w:r>
        <w:rPr>
          <w:rFonts w:ascii="Times New Roman" w:cs="Times New Roman" w:eastAsia="Times New Roman" w:hAnsi="Times New Roman"/>
          <w:sz w:val="14"/>
          <w:szCs w:val="14"/>
          <w:color w:val="auto"/>
        </w:rPr>
        <w:t>We are subject to risks related to public health crisis and any efforts to halt the spread of any public health crises. For example, COVID-19 and policies and regulations implemented by governments in response to its outbreak, such as directing businesses and governmental agencies to cease non-essential operations at physical locations, prohibiting certain nonessential gatherings and ceasing non-essential travel had a significant impact, both direct and indirect, on businesses and commerce, as worker shortages occurred, supply chains were disrupted, facilities and production were suspended, and demand for certain goods and services, such as medical services and supplies, spiked, while demand for other goods and services fell. We experienced certain impacts of COVID-19, including inability to conduct clinical trial site monitoring for certain earlier phase clinical trials and delays in completing clinical trials, bioanalytical sample analysis and study reports. There can be no guarantee we will not experience other impacts from other pandemics, epidemics or infectious disease outbreaks, such as being forced to further delay or pause enrollment, experiencing potential interruptions to our supply chain, facing difficulties or additional costs in enrolling patients in future clinical trials or being able to achieve full enrollment of our studies within the timeframes we anticipate, or at all. Additionally, pandemics, epidemics or other infectious disease outbreaks could have extensive impacts in many aspects of society and could result in significant disruptions to the global economy, as well as businesses and capital markets around the world. Other global health concerns could also result in social, economic, and labor instability in the countries in which we or the third parties with whom we engage operate.</w:t>
      </w:r>
    </w:p>
    <w:p>
      <w:pPr>
        <w:spacing w:after="0" w:line="155"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 xml:space="preserve">While we have been working closely with our third-party manufacturers, distributors and other partners to manage our supply chain activities and mitigate potential disruptions to the production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product candidates as a result of pandemics, epidemics or other infectious disease outbreaks, if such a public health crisis were to persist for an extended period of time, there could be significant and material disruptions to our supply chain and operations, and associated delays in the manufacturing and supply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product candidates. Any such supply disruptions, including disruptions in procuring items that are essential for our development activities and securing manufacturing slots for the products needed for such activities, could adversely impact our ability to initiate and complete nonclinical studies or clinical trials and generate sales of and revenue from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product candidates, which could have a material adverse effect on our business, financial condition, results of operations and growth prospects.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63" w:name="page64"/>
    <w:bookmarkEnd w:id="63"/>
    <w:p>
      <w:pPr>
        <w:jc w:val="both"/>
        <w:ind w:left="640" w:right="859" w:firstLine="351"/>
        <w:spacing w:after="0" w:line="274" w:lineRule="auto"/>
        <w:rPr>
          <w:sz w:val="20"/>
          <w:szCs w:val="20"/>
          <w:color w:val="auto"/>
        </w:rPr>
      </w:pPr>
      <w:r>
        <w:rPr>
          <w:rFonts w:ascii="Times New Roman" w:cs="Times New Roman" w:eastAsia="Times New Roman" w:hAnsi="Times New Roman"/>
          <w:sz w:val="14"/>
          <w:szCs w:val="14"/>
          <w:color w:val="auto"/>
        </w:rPr>
        <w:t>COVID-19 affected and other public health crises may in the future affect employees of third-party CROs located in affected geographies that we rely upon to carry out our clinical trials. If any future public health crisis is not contained, we may experience disruptions that could severely impact our business and clinical trials, including:</w:t>
      </w:r>
    </w:p>
    <w:p>
      <w:pPr>
        <w:spacing w:after="0" w:line="50" w:lineRule="exact"/>
        <w:rPr>
          <w:sz w:val="20"/>
          <w:szCs w:val="20"/>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or difficulties in our commercialization efforts;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or difficulties in enrolling patients in our clinical trials;</w:t>
      </w:r>
    </w:p>
    <w:p>
      <w:pPr>
        <w:spacing w:after="0" w:line="96" w:lineRule="exact"/>
        <w:rPr>
          <w:rFonts w:ascii="Times New Roman" w:cs="Times New Roman" w:eastAsia="Times New Roman" w:hAnsi="Times New Roman"/>
          <w:sz w:val="14"/>
          <w:szCs w:val="14"/>
          <w:color w:val="auto"/>
        </w:rPr>
      </w:pPr>
    </w:p>
    <w:p>
      <w:pPr>
        <w:ind w:left="1340" w:right="719" w:hanging="352"/>
        <w:spacing w:after="0" w:line="292" w:lineRule="auto"/>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or difficulties in clinical site initiation, including difficulties in recruiting clinical site investigators and clinical site staff;</w:t>
      </w:r>
    </w:p>
    <w:p>
      <w:pPr>
        <w:spacing w:after="0" w:line="37" w:lineRule="exact"/>
        <w:rPr>
          <w:rFonts w:ascii="Times New Roman" w:cs="Times New Roman" w:eastAsia="Times New Roman" w:hAnsi="Times New Roman"/>
          <w:sz w:val="14"/>
          <w:szCs w:val="14"/>
          <w:color w:val="auto"/>
        </w:rPr>
      </w:pPr>
    </w:p>
    <w:p>
      <w:pPr>
        <w:ind w:left="1340" w:right="779" w:hanging="352"/>
        <w:spacing w:after="0" w:line="274" w:lineRule="auto"/>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healthcare resources away from the conduct of clinical trials, including the diversion of sites or facilities serving as our clinical trial sites and staff supporting the conduct of our clinical trials, including our trained therapists, or absenteeism that reduces site resources;</w:t>
      </w:r>
    </w:p>
    <w:p>
      <w:pPr>
        <w:spacing w:after="0" w:line="50" w:lineRule="exact"/>
        <w:rPr>
          <w:rFonts w:ascii="Times New Roman" w:cs="Times New Roman" w:eastAsia="Times New Roman" w:hAnsi="Times New Roman"/>
          <w:sz w:val="14"/>
          <w:szCs w:val="14"/>
          <w:color w:val="auto"/>
        </w:rPr>
      </w:pPr>
    </w:p>
    <w:p>
      <w:pPr>
        <w:ind w:left="1340" w:right="679" w:hanging="352"/>
        <w:spacing w:after="0" w:line="274" w:lineRule="auto"/>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 of key clinical trial activities, such as clinical trial site monitoring, due to limitations on travel imposed or recommended by federal, state or national governments, employers and others or interruption of clinical trial subject visits and study procedures, the occurrence of which could affect the integrity of clinical trial data;</w:t>
      </w:r>
    </w:p>
    <w:p>
      <w:pPr>
        <w:spacing w:after="0" w:line="50" w:lineRule="exact"/>
        <w:rPr>
          <w:rFonts w:ascii="Times New Roman" w:cs="Times New Roman" w:eastAsia="Times New Roman" w:hAnsi="Times New Roman"/>
          <w:sz w:val="14"/>
          <w:szCs w:val="14"/>
          <w:color w:val="auto"/>
        </w:rPr>
      </w:pPr>
    </w:p>
    <w:p>
      <w:pPr>
        <w:ind w:left="1340" w:right="819" w:hanging="352"/>
        <w:spacing w:after="0" w:line="274" w:lineRule="auto"/>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that participants enrolled in our clinical trials will acquire a virus or illness while the clinical trial is ongoing, which could impact the results of the clinical trial, including by increasing the number of observed adverse events or patient withdrawals from our trials;</w:t>
      </w:r>
    </w:p>
    <w:p>
      <w:pPr>
        <w:spacing w:after="0" w:line="50" w:lineRule="exact"/>
        <w:rPr>
          <w:rFonts w:ascii="Times New Roman" w:cs="Times New Roman" w:eastAsia="Times New Roman" w:hAnsi="Times New Roman"/>
          <w:sz w:val="14"/>
          <w:szCs w:val="14"/>
          <w:color w:val="auto"/>
        </w:rPr>
      </w:pPr>
    </w:p>
    <w:p>
      <w:pPr>
        <w:ind w:left="1340" w:right="759" w:hanging="352"/>
        <w:spacing w:after="0" w:line="292" w:lineRule="auto"/>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in employee resources that would otherwise be focused on conducting our clinical trials, including because of sickness of employees or their families or the desire of employees to avoid contact with large groups of people;</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receiving authorizations from regulatory authorities to initiate our future clinical trials;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clinical sites receiving the supplies and materials needed to conduct our clinical trials;</w:t>
      </w:r>
    </w:p>
    <w:p>
      <w:pPr>
        <w:spacing w:after="0" w:line="94" w:lineRule="exact"/>
        <w:rPr>
          <w:rFonts w:ascii="Times New Roman" w:cs="Times New Roman" w:eastAsia="Times New Roman" w:hAnsi="Times New Roman"/>
          <w:sz w:val="14"/>
          <w:szCs w:val="14"/>
          <w:color w:val="auto"/>
        </w:rPr>
      </w:pPr>
    </w:p>
    <w:p>
      <w:pPr>
        <w:ind w:left="1340" w:right="919" w:hanging="352"/>
        <w:spacing w:after="0" w:line="295" w:lineRule="auto"/>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interruption in global shipping that may affect the transport of clinical trial materials, such as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used in our clinical trials;</w:t>
      </w:r>
    </w:p>
    <w:p>
      <w:pPr>
        <w:spacing w:after="0" w:line="35" w:lineRule="exact"/>
        <w:rPr>
          <w:rFonts w:ascii="Times New Roman" w:cs="Times New Roman" w:eastAsia="Times New Roman" w:hAnsi="Times New Roman"/>
          <w:sz w:val="14"/>
          <w:szCs w:val="14"/>
          <w:color w:val="auto"/>
        </w:rPr>
      </w:pPr>
    </w:p>
    <w:p>
      <w:pPr>
        <w:jc w:val="both"/>
        <w:ind w:left="1340" w:right="819" w:hanging="352"/>
        <w:spacing w:after="0" w:line="274" w:lineRule="auto"/>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local regulations as part of a response to the public health crisis which may require us to change the ways in which our clinical trials are conducted, which may result in unexpected costs, or the discontinuation of the clinical trials altogether;</w:t>
      </w:r>
    </w:p>
    <w:p>
      <w:pPr>
        <w:spacing w:after="0" w:line="50"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or delays in nonclinical studies due to restricted or limited operations at research and development laboratory facilities;</w:t>
      </w:r>
    </w:p>
    <w:p>
      <w:pPr>
        <w:spacing w:after="0" w:line="37" w:lineRule="exact"/>
        <w:rPr>
          <w:rFonts w:ascii="Times New Roman" w:cs="Times New Roman" w:eastAsia="Times New Roman" w:hAnsi="Times New Roman"/>
          <w:sz w:val="14"/>
          <w:szCs w:val="14"/>
          <w:color w:val="auto"/>
        </w:rPr>
      </w:pPr>
    </w:p>
    <w:p>
      <w:pPr>
        <w:ind w:left="1340" w:right="699" w:hanging="352"/>
        <w:spacing w:after="0" w:line="292" w:lineRule="auto"/>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necessary interactions with local regulators, ethics committees and other important agencies and contractors due to limitations in employee resources or forced furlough of government employees; and</w:t>
      </w:r>
    </w:p>
    <w:p>
      <w:pPr>
        <w:spacing w:after="0" w:line="37" w:lineRule="exact"/>
        <w:rPr>
          <w:rFonts w:ascii="Times New Roman" w:cs="Times New Roman" w:eastAsia="Times New Roman" w:hAnsi="Times New Roman"/>
          <w:sz w:val="14"/>
          <w:szCs w:val="14"/>
          <w:color w:val="auto"/>
        </w:rPr>
      </w:pPr>
    </w:p>
    <w:p>
      <w:pPr>
        <w:ind w:left="1340" w:right="979" w:hanging="352"/>
        <w:spacing w:after="0" w:line="292" w:lineRule="auto"/>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of the FDA, the EMA or the other regulatory bodies to accept data from clinical trials in affected geographies outside the United States, the EU or other relevant local geographies.</w:t>
      </w:r>
    </w:p>
    <w:p>
      <w:pPr>
        <w:spacing w:after="0" w:line="122" w:lineRule="exact"/>
        <w:rPr>
          <w:sz w:val="20"/>
          <w:szCs w:val="20"/>
          <w:color w:val="auto"/>
        </w:rPr>
      </w:pPr>
    </w:p>
    <w:p>
      <w:pPr>
        <w:ind w:left="640" w:right="719" w:firstLine="351"/>
        <w:spacing w:after="0" w:line="259" w:lineRule="auto"/>
        <w:rPr>
          <w:sz w:val="20"/>
          <w:szCs w:val="20"/>
          <w:color w:val="auto"/>
        </w:rPr>
      </w:pPr>
      <w:r>
        <w:rPr>
          <w:rFonts w:ascii="Times New Roman" w:cs="Times New Roman" w:eastAsia="Times New Roman" w:hAnsi="Times New Roman"/>
          <w:sz w:val="14"/>
          <w:szCs w:val="14"/>
          <w:color w:val="auto"/>
        </w:rPr>
        <w:t xml:space="preserve">Any negative impact a public health crisis has on patient enrollment or treatment, or the commercialization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the development of any additional indications could cause costly delays to clinical trial activities, which could adversely affect our ability to obtain regulatory approval for potential additional indications, including urticaria, for our current or future intranasal epinephrine technology product candidates, increase our operating expenses, which could have a material adverse effect on our financial results. COVID-19 caused significant volatility in public equity markets and disruptions to the United States and global economies and any future pandemic, epidemic, infectious disease outbreak or similar public health crisis could lead to market dislocation. Any such volatility and economic dislocation may make it more difficult for us to raise capital on favorable terms, or at all. If we or any of the third parties with whom we engage were to experience shutdowns or other business disruptions, our ability to conduct our business in the manner and on the timelines presently planned could be materially and negatively affected, which could have a material adverse impact on our business and our results of operations and financial conditions. To the extent a future pandemic, epidemic, infectious disease outbreak or other public health crisis adversely affects our business and financial results, it may also heighten many of the other risks described in this “Risk Factors” section, such as those relating to the timing and completion of our clinical trials and our ability to obtain future financing.</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6" w:right="1440" w:bottom="1440" w:gutter="0" w:footer="0" w:header="0"/>
        </w:sectPr>
      </w:pPr>
    </w:p>
    <w:bookmarkStart w:id="64" w:name="page65"/>
    <w:bookmarkEnd w:id="64"/>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The increasing use of social media platforms presents new risks and challenges.</w:t>
      </w:r>
    </w:p>
    <w:p>
      <w:pPr>
        <w:spacing w:after="0" w:line="101" w:lineRule="exact"/>
        <w:rPr>
          <w:sz w:val="20"/>
          <w:szCs w:val="20"/>
          <w:color w:val="auto"/>
        </w:rPr>
      </w:pPr>
    </w:p>
    <w:p>
      <w:pPr>
        <w:ind w:left="640" w:right="659" w:firstLine="351"/>
        <w:spacing w:after="0" w:line="257" w:lineRule="auto"/>
        <w:rPr>
          <w:sz w:val="20"/>
          <w:szCs w:val="20"/>
          <w:color w:val="auto"/>
        </w:rPr>
      </w:pPr>
      <w:r>
        <w:rPr>
          <w:rFonts w:ascii="Times New Roman" w:cs="Times New Roman" w:eastAsia="Times New Roman" w:hAnsi="Times New Roman"/>
          <w:sz w:val="14"/>
          <w:szCs w:val="14"/>
          <w:color w:val="auto"/>
        </w:rPr>
        <w:t xml:space="preserve">Social media is increasingly being used to communicate about our clinical development activities and the indications our intranasal epinephrine technology product candidates has been approved to treat and is being developed to treat, and we intend to utilize appropriate social media in connection with our commercialization efforts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Advertising and promotional materials must comply with FDA rules concerning the advertising and promotion of our intranasal epinephrine technology product candidates and are subject to FDA review, in addition to other potentially applicable federal and state laws. Failure to comply with these regulations can result in warning letters and further liability if off-label promotion is involved. The FDA’s Office of Prescription Drug Promotion has sent warning letters to sponsors for alleged violative labeling and promotional materials, including those disseminated through social media. Social media practices in the biotechnology and biopharmaceutical industries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and heightened scrutiny by the FDA, the Federal Trade Commission, the SEC and other regulators. For example, patients may use social media channels to comment on their experience in an ongoing clinical trial or to report an alleged side effect or adverse event. If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any potential additional indications. There is also a risk of inappropriate disclosure of sensitive or confidential information or negative or inaccurate posts or comments about us on any social networking website. In addition, we may encounter attacks on social media regarding us, our management or our current or future intranasal epinephrine technology product candidates. Moreover, information communicated on social media must take into consideration applicable rules governing the advertising and promotion of medicinal products. 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General requirements for advertising and promotion of medicinal products, such as direct-to-consumer advertising of prescription medicinal products are established in EU law. However,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(“SmPC”), which may require approval by the competent national authorities in connection with an MA. The SmPC is the document that provides information to physicians concerning the safe and effective use of the product. Promotional activity that does not comply with the SmPC is considered off-label and is prohibited in the EU. If any of these events were to occur or we otherwise fail to comply with applicable regulations, we could incur liability, face regulatory actions or incur other harm to our business.</w:t>
      </w:r>
    </w:p>
    <w:p>
      <w:pPr>
        <w:spacing w:after="0" w:line="200" w:lineRule="exact"/>
        <w:rPr>
          <w:sz w:val="20"/>
          <w:szCs w:val="20"/>
          <w:color w:val="auto"/>
        </w:rPr>
      </w:pP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Results of Operations and Financial Position</w:t>
      </w:r>
    </w:p>
    <w:p>
      <w:pPr>
        <w:spacing w:after="0" w:line="95" w:lineRule="exact"/>
        <w:rPr>
          <w:sz w:val="20"/>
          <w:szCs w:val="20"/>
          <w:color w:val="auto"/>
        </w:rPr>
      </w:pPr>
    </w:p>
    <w:p>
      <w:pPr>
        <w:ind w:left="640" w:right="11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expect that our timing of sales and our results of operations will fluctuate for the foreseeable future, which may make it difficult to predict our future performance from period to period.</w:t>
      </w:r>
    </w:p>
    <w:p>
      <w:pPr>
        <w:spacing w:after="0" w:line="34"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 xml:space="preserve">Our operating results have fluctuated in the past and are likely to do so in future periods, especially in the near term as we continue our ongoing commercial launch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Some of the factors that could cause our operating results to fluctuate from period to period include the factors described elsewhere in the “Risk Factors” section of this report as well as in “Management’s Discussion and Analysis of Financial Condition and Results of Operations” section of this report.</w:t>
      </w:r>
    </w:p>
    <w:p>
      <w:pPr>
        <w:spacing w:after="0" w:line="140" w:lineRule="exact"/>
        <w:rPr>
          <w:sz w:val="20"/>
          <w:szCs w:val="20"/>
          <w:color w:val="auto"/>
        </w:rPr>
      </w:pPr>
    </w:p>
    <w:p>
      <w:pPr>
        <w:ind w:left="640" w:right="939" w:firstLine="351"/>
        <w:spacing w:after="0" w:line="292" w:lineRule="auto"/>
        <w:rPr>
          <w:sz w:val="20"/>
          <w:szCs w:val="20"/>
          <w:color w:val="auto"/>
        </w:rPr>
      </w:pPr>
      <w:r>
        <w:rPr>
          <w:rFonts w:ascii="Times New Roman" w:cs="Times New Roman" w:eastAsia="Times New Roman" w:hAnsi="Times New Roman"/>
          <w:sz w:val="14"/>
          <w:szCs w:val="14"/>
          <w:color w:val="auto"/>
        </w:rPr>
        <w:t>We believe that comparisons from period to period of our financial results are not necessarily meaningful and should not be relied upon as indications of our future performance.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65" w:name="page66"/>
    <w:bookmarkEnd w:id="65"/>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We have incurred significant losses since our inception.*</w:t>
      </w:r>
    </w:p>
    <w:p>
      <w:pPr>
        <w:spacing w:after="0" w:line="101"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 xml:space="preserve">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have one product approved for commercial sale and have generated only limited revenue from product sales to date, and we will continue to incur significant expenses related to our commercialization activities, clinical development and ongoing operations. As a result, we have incurred significant losses in most periods since our inception. Since our inception, we have devoted substantially all of our efforts and financial resources to organizing and staffing our company, business planning, raising capital, performing research and development activities, pre-commercialization activities, the commercial launch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providing general and administrative support for these operations. Our financial condition and operating results, including net losses, may fluctuate significantly from quarter to quarter and year to year. Accordingly, you should not rely upon the results of any quarterly or annual periods as indications of future operating performance. Additionally, net losses and negative cash flows have had, and will continue to have, an adverse effect on our stockholders’ equity and working capital. Our net income was $8.0 million for the year ended December 31, 2024 and our net loss was $54.4 million for the year ended December 31, 2023. Our net loss was $33.9 million for the three months ended March 31, 2025. As of March 31, 2025, we had an accumulated deficit of $157.2 million. We expect to continue to incur significant losses for the foreseeable future.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We anticipate that our expenses will increase substantially if and as we:</w:t>
      </w:r>
    </w:p>
    <w:p>
      <w:pPr>
        <w:spacing w:after="0" w:line="97" w:lineRule="exact"/>
        <w:rPr>
          <w:sz w:val="20"/>
          <w:szCs w:val="20"/>
          <w:color w:val="auto"/>
        </w:rPr>
      </w:pPr>
    </w:p>
    <w:p>
      <w:pPr>
        <w:jc w:val="both"/>
        <w:ind w:left="1340" w:right="719" w:hanging="352"/>
        <w:spacing w:after="0" w:line="292" w:lineRule="auto"/>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maintain and expand our sales, marketing, distribution, manufacturing, supply chain and other commercial infrastructure to support the commercialization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any other product candidates for which we may obtain regulatory approval;</w:t>
      </w:r>
    </w:p>
    <w:p>
      <w:pPr>
        <w:spacing w:after="0" w:line="37" w:lineRule="exact"/>
        <w:rPr>
          <w:rFonts w:ascii="Times New Roman" w:cs="Times New Roman" w:eastAsia="Times New Roman" w:hAnsi="Times New Roman"/>
          <w:sz w:val="14"/>
          <w:szCs w:val="14"/>
          <w:color w:val="auto"/>
        </w:rPr>
      </w:pPr>
    </w:p>
    <w:p>
      <w:pPr>
        <w:ind w:left="1340" w:right="979" w:hanging="352"/>
        <w:spacing w:after="0" w:line="292" w:lineRule="auto"/>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continue to develop and conduct nonclinical studies and clinical trials for our current or future intranasal epinephrine technology product candidates and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on a post-approval basis;</w:t>
      </w:r>
    </w:p>
    <w:p>
      <w:pPr>
        <w:spacing w:after="0" w:line="37" w:lineRule="exact"/>
        <w:rPr>
          <w:rFonts w:ascii="Times New Roman" w:cs="Times New Roman" w:eastAsia="Times New Roman" w:hAnsi="Times New Roman"/>
          <w:sz w:val="14"/>
          <w:szCs w:val="14"/>
          <w:color w:val="auto"/>
        </w:rPr>
      </w:pPr>
    </w:p>
    <w:p>
      <w:pPr>
        <w:ind w:left="1340" w:right="1199" w:hanging="352"/>
        <w:spacing w:after="0" w:line="292" w:lineRule="auto"/>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approvals in the United States and in other geographic regions for our current or future intranasal epinephrine technology product candidates;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to identify future product candidates;</w:t>
      </w:r>
    </w:p>
    <w:p>
      <w:pPr>
        <w:spacing w:after="0" w:line="96" w:lineRule="exact"/>
        <w:rPr>
          <w:rFonts w:ascii="Times New Roman" w:cs="Times New Roman" w:eastAsia="Times New Roman" w:hAnsi="Times New Roman"/>
          <w:sz w:val="14"/>
          <w:szCs w:val="14"/>
          <w:color w:val="auto"/>
        </w:rPr>
      </w:pPr>
    </w:p>
    <w:p>
      <w:pPr>
        <w:ind w:left="1340" w:right="779" w:hanging="352"/>
        <w:spacing w:after="0" w:line="274" w:lineRule="auto"/>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any delays or encounter any issues with any of the above, including but not limited to failed studies, negative or mixed clinical trial results, safety issues or other regulatory challenges, the risk of which in each case may be exacerbated by tariffs, trade wars, geopolitical conflicts and a health epidemic or pandemic;</w:t>
      </w:r>
    </w:p>
    <w:p>
      <w:pPr>
        <w:spacing w:after="0" w:line="50" w:lineRule="exact"/>
        <w:rPr>
          <w:rFonts w:ascii="Times New Roman" w:cs="Times New Roman" w:eastAsia="Times New Roman" w:hAnsi="Times New Roman"/>
          <w:sz w:val="14"/>
          <w:szCs w:val="14"/>
          <w:color w:val="auto"/>
        </w:rPr>
      </w:pPr>
    </w:p>
    <w:p>
      <w:pPr>
        <w:ind w:left="1340" w:right="1039" w:hanging="352"/>
        <w:spacing w:after="0" w:line="274" w:lineRule="auto"/>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clinical, scientific, operational, sales, financial and management information systems and personnel, including personnel to support our product candidate development and commercialization efforts and help us comply with our obligations as a public company;</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or in-license other product candidates and technologies.</w:t>
      </w:r>
    </w:p>
    <w:p>
      <w:pPr>
        <w:spacing w:after="0" w:line="183"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Our expenses could increase beyond our expectations if we are required by the FDA, the EMA or other regulatory authorities to perform clinical trials or conduct nonclinical studies in addition to those that we currently expect, or if there are any delays in completing our clinical trials or the development of our current or future intranasal epinephrine technology product candidates, or if we choose to develop or acquire any future product candidates. Our expenses could also increase significantly as a result of tariffs, trade wars and geopolitical conflicts.</w:t>
      </w:r>
    </w:p>
    <w:p>
      <w:pPr>
        <w:spacing w:after="0" w:line="224" w:lineRule="exact"/>
        <w:rPr>
          <w:sz w:val="20"/>
          <w:szCs w:val="20"/>
          <w:color w:val="auto"/>
        </w:rPr>
      </w:pPr>
    </w:p>
    <w:p>
      <w:pPr>
        <w:ind w:left="64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need additional funding, and if we are unable to raise capital when needed, we could be forced to delay, reduce or eliminate our product development activities or commercialization efforts.*</w:t>
      </w:r>
    </w:p>
    <w:p>
      <w:pPr>
        <w:spacing w:after="0" w:line="34" w:lineRule="exact"/>
        <w:rPr>
          <w:sz w:val="20"/>
          <w:szCs w:val="20"/>
          <w:color w:val="auto"/>
        </w:rPr>
      </w:pPr>
    </w:p>
    <w:p>
      <w:pPr>
        <w:jc w:val="both"/>
        <w:ind w:left="640" w:right="759" w:firstLine="351"/>
        <w:spacing w:after="0" w:line="262" w:lineRule="auto"/>
        <w:rPr>
          <w:sz w:val="20"/>
          <w:szCs w:val="20"/>
          <w:color w:val="auto"/>
        </w:rPr>
      </w:pPr>
      <w:r>
        <w:rPr>
          <w:rFonts w:ascii="Times New Roman" w:cs="Times New Roman" w:eastAsia="Times New Roman" w:hAnsi="Times New Roman"/>
          <w:sz w:val="14"/>
          <w:szCs w:val="14"/>
          <w:color w:val="auto"/>
        </w:rPr>
        <w:t xml:space="preserve">Our operations have consumed significant amounts of cash since inception. Based upon our current operating plan, we believe that our cash and cash equivalents will fund our operating and capital expenses for at least three years. We expect to incur significant expenses related to commercialization, such as product sales, medical affairs, marketing, manufacturing and distribution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w:t>
      </w:r>
    </w:p>
    <w:p>
      <w:pPr>
        <w:spacing w:after="0" w:line="2" w:lineRule="exact"/>
        <w:rPr>
          <w:sz w:val="20"/>
          <w:szCs w:val="20"/>
          <w:color w:val="auto"/>
        </w:rPr>
      </w:pPr>
    </w:p>
    <w:p>
      <w:pPr>
        <w:ind w:left="640" w:right="659"/>
        <w:spacing w:after="0" w:line="258" w:lineRule="auto"/>
        <w:rPr>
          <w:sz w:val="20"/>
          <w:szCs w:val="20"/>
          <w:color w:val="auto"/>
        </w:rPr>
      </w:pPr>
      <w:r>
        <w:rPr>
          <w:rFonts w:ascii="Times New Roman" w:cs="Times New Roman" w:eastAsia="Times New Roman" w:hAnsi="Times New Roman"/>
          <w:sz w:val="14"/>
          <w:szCs w:val="14"/>
          <w:color w:val="auto"/>
        </w:rPr>
        <w:t xml:space="preserve">Further, we expect to incur additional costs associated with operating as a public company. We may require significant additional amounts of cash in order to 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for its currently approved indications in the United States, or for our current or future intranasal epinephrine technology product candidates which receive regulatory approval. In addition, other unanticipated costs may arise in the course of our continued development and commercialization efforts. Because the outcome of our commercialization efforts and continued development of our current or future intranasal epinephrine technology product candidates is highly uncertain, we cannot reasonably estimate the actual amounts of cash necessary to 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for its approved indications in the United States, or any other indications we are pursuing.</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66" w:name="page67"/>
    <w:bookmarkEnd w:id="66"/>
    <w:p>
      <w:pPr>
        <w:ind w:left="980"/>
        <w:spacing w:after="0"/>
        <w:rPr>
          <w:sz w:val="20"/>
          <w:szCs w:val="20"/>
          <w:color w:val="auto"/>
        </w:rPr>
      </w:pPr>
      <w:r>
        <w:rPr>
          <w:rFonts w:ascii="Times New Roman" w:cs="Times New Roman" w:eastAsia="Times New Roman" w:hAnsi="Times New Roman"/>
          <w:sz w:val="14"/>
          <w:szCs w:val="14"/>
          <w:color w:val="auto"/>
        </w:rPr>
        <w:t>Our future capital requirements depend on many factors, including:</w:t>
      </w:r>
    </w:p>
    <w:p>
      <w:pPr>
        <w:spacing w:after="0" w:line="95" w:lineRule="exact"/>
        <w:rPr>
          <w:sz w:val="20"/>
          <w:szCs w:val="20"/>
          <w:color w:val="auto"/>
        </w:rPr>
      </w:pPr>
    </w:p>
    <w:p>
      <w:pPr>
        <w:ind w:left="1340" w:right="779" w:hanging="352"/>
        <w:spacing w:after="0" w:line="269"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costs of commercialization activities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for its approved indications and our current or future intranasal epinephrine technology product candidates that receives regulatory approval, to the extent such costs are not the responsibility of any current or future licensing and collaboration partners, including the costs and timing of establishing product sales, marketing, distribution and manufacturing capabilities;</w:t>
      </w:r>
    </w:p>
    <w:p>
      <w:pPr>
        <w:spacing w:after="0" w:line="51" w:lineRule="exact"/>
        <w:rPr>
          <w:rFonts w:ascii="Times New Roman" w:cs="Times New Roman" w:eastAsia="Times New Roman" w:hAnsi="Times New Roman"/>
          <w:sz w:val="14"/>
          <w:szCs w:val="14"/>
          <w:color w:val="auto"/>
        </w:rPr>
      </w:pPr>
    </w:p>
    <w:p>
      <w:pPr>
        <w:ind w:left="1340" w:right="1079" w:hanging="352"/>
        <w:spacing w:after="0" w:line="295"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revenue received from commercial sales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any current or future intranasal epinephrine technology product candidates that receives regulatory approval;</w:t>
      </w:r>
    </w:p>
    <w:p>
      <w:pPr>
        <w:spacing w:after="0" w:line="35" w:lineRule="exact"/>
        <w:rPr>
          <w:rFonts w:ascii="Times New Roman" w:cs="Times New Roman" w:eastAsia="Times New Roman" w:hAnsi="Times New Roman"/>
          <w:sz w:val="14"/>
          <w:szCs w:val="14"/>
          <w:color w:val="auto"/>
        </w:rPr>
      </w:pPr>
    </w:p>
    <w:p>
      <w:pPr>
        <w:ind w:left="1340" w:right="879" w:hanging="352"/>
        <w:spacing w:after="0" w:line="292"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progress, results and costs of researching and developing our intranasal epinephrine technology for potential additional indications, including urticaria;</w:t>
      </w:r>
    </w:p>
    <w:p>
      <w:pPr>
        <w:spacing w:after="0" w:line="37" w:lineRule="exact"/>
        <w:rPr>
          <w:rFonts w:ascii="Times New Roman" w:cs="Times New Roman" w:eastAsia="Times New Roman" w:hAnsi="Times New Roman"/>
          <w:sz w:val="14"/>
          <w:szCs w:val="14"/>
          <w:color w:val="auto"/>
        </w:rPr>
      </w:pPr>
    </w:p>
    <w:p>
      <w:pPr>
        <w:ind w:left="1340" w:right="699" w:hanging="352"/>
        <w:spacing w:after="0" w:line="292"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timing of, and the costs involved in, obtaining regulatory approval for the marketing of our current or future intranasal epinephrine technology product candidates and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for additional indications;</w:t>
      </w:r>
    </w:p>
    <w:p>
      <w:pPr>
        <w:spacing w:after="0" w:line="37" w:lineRule="exact"/>
        <w:rPr>
          <w:rFonts w:ascii="Times New Roman" w:cs="Times New Roman" w:eastAsia="Times New Roman" w:hAnsi="Times New Roman"/>
          <w:sz w:val="14"/>
          <w:szCs w:val="14"/>
          <w:color w:val="auto"/>
        </w:rPr>
      </w:pPr>
    </w:p>
    <w:p>
      <w:pPr>
        <w:ind w:left="1340" w:right="899" w:hanging="352"/>
        <w:spacing w:after="0" w:line="292"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potential royalty and milestone payments to our current or future licensing and collaboration partners;</w:t>
      </w:r>
    </w:p>
    <w:p>
      <w:pPr>
        <w:spacing w:after="0" w:line="37" w:lineRule="exact"/>
        <w:rPr>
          <w:rFonts w:ascii="Times New Roman" w:cs="Times New Roman" w:eastAsia="Times New Roman" w:hAnsi="Times New Roman"/>
          <w:sz w:val="14"/>
          <w:szCs w:val="14"/>
          <w:color w:val="auto"/>
        </w:rPr>
      </w:pPr>
    </w:p>
    <w:p>
      <w:pPr>
        <w:ind w:left="1340" w:right="1239" w:hanging="352"/>
        <w:spacing w:after="0" w:line="292"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of licensing fees, royalties and potential milestone payments under our current or future out-licensing arrangements;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in-license or acquire rights to other products, product candidates or technologies;</w:t>
      </w:r>
    </w:p>
    <w:p>
      <w:pPr>
        <w:spacing w:after="0" w:line="96" w:lineRule="exact"/>
        <w:rPr>
          <w:rFonts w:ascii="Times New Roman" w:cs="Times New Roman" w:eastAsia="Times New Roman" w:hAnsi="Times New Roman"/>
          <w:sz w:val="14"/>
          <w:szCs w:val="14"/>
          <w:color w:val="auto"/>
        </w:rPr>
      </w:pPr>
    </w:p>
    <w:p>
      <w:pPr>
        <w:ind w:left="1340" w:right="1099" w:hanging="352"/>
        <w:spacing w:after="0" w:line="292"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headcount growth and associated costs as we expand our personnel, including personnel to support our product development and commercialization efforts and help us comply with our obligations as a public company;</w:t>
      </w:r>
    </w:p>
    <w:p>
      <w:pPr>
        <w:spacing w:after="0" w:line="37" w:lineRule="exact"/>
        <w:rPr>
          <w:rFonts w:ascii="Times New Roman" w:cs="Times New Roman" w:eastAsia="Times New Roman" w:hAnsi="Times New Roman"/>
          <w:sz w:val="14"/>
          <w:szCs w:val="14"/>
          <w:color w:val="auto"/>
        </w:rPr>
      </w:pPr>
    </w:p>
    <w:p>
      <w:pPr>
        <w:ind w:left="1340" w:right="979" w:hanging="352"/>
        <w:spacing w:after="0" w:line="292"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preparing, filing and prosecuting patent applications, maintaining and protecting our intellectual property rights, including enforcing and defending intellectual property related claims; and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ongoing costs of operating as a public company.</w:t>
      </w:r>
    </w:p>
    <w:p>
      <w:pPr>
        <w:spacing w:after="0" w:line="183" w:lineRule="exact"/>
        <w:rPr>
          <w:sz w:val="20"/>
          <w:szCs w:val="20"/>
          <w:color w:val="auto"/>
        </w:rPr>
      </w:pPr>
    </w:p>
    <w:p>
      <w:pPr>
        <w:ind w:left="640" w:right="719" w:firstLine="351"/>
        <w:spacing w:after="0" w:line="264" w:lineRule="auto"/>
        <w:rPr>
          <w:sz w:val="20"/>
          <w:szCs w:val="20"/>
          <w:color w:val="auto"/>
        </w:rPr>
      </w:pPr>
      <w:r>
        <w:rPr>
          <w:rFonts w:ascii="Times New Roman" w:cs="Times New Roman" w:eastAsia="Times New Roman" w:hAnsi="Times New Roman"/>
          <w:sz w:val="14"/>
          <w:szCs w:val="14"/>
          <w:color w:val="auto"/>
        </w:rPr>
        <w:t>We cannot be certain that additional funding will be available on acceptable terms, or at all. The global credit and financial markets have experienced extreme volatility and disruptions and have been adversely impacted, and may continue to be adversely impacted or further adversely impacted, by macroeconomic factors such as tariffs, trade wars, inflation, high interest rates, recessionary concerns, recessions, bank failures, geopolitical conflicts and general economic uncertainty. If the equity and credit markets do not improve or further deteriorate, it may make any necessary debt or equity financing more difficult, more costly or more dilutive.</w:t>
      </w:r>
    </w:p>
    <w:p>
      <w:pPr>
        <w:spacing w:after="0" w:line="317" w:lineRule="exact"/>
        <w:rPr>
          <w:sz w:val="20"/>
          <w:szCs w:val="20"/>
          <w:color w:val="auto"/>
        </w:rPr>
      </w:pPr>
    </w:p>
    <w:p>
      <w:pPr>
        <w:ind w:left="640" w:right="779" w:firstLine="351"/>
        <w:spacing w:after="0" w:line="268" w:lineRule="auto"/>
        <w:rPr>
          <w:sz w:val="20"/>
          <w:szCs w:val="20"/>
          <w:color w:val="auto"/>
        </w:rPr>
      </w:pPr>
      <w:r>
        <w:rPr>
          <w:rFonts w:ascii="Times New Roman" w:cs="Times New Roman" w:eastAsia="Times New Roman" w:hAnsi="Times New Roman"/>
          <w:sz w:val="14"/>
          <w:szCs w:val="14"/>
          <w:color w:val="auto"/>
        </w:rPr>
        <w:t>We believe that our existing cash and cash equivalents will be sufficient to fund our planned operations for at least three years. This estimate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w:t>
      </w:r>
    </w:p>
    <w:p>
      <w:pPr>
        <w:spacing w:after="0" w:line="140"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 xml:space="preserve">We have no committed source of additional capital other than potential milestone payments and royalties under our collaboration and licensing agreements. If we are unable to raise additional capital in sufficient amounts or on terms acceptable to us, we may have to significantly delay, scale back or discontinue the development and commercialization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We may need to seek licensing and collaboration partners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for commercialization in additional indications on terms that are less favorable than might otherwise be available or relinquish or license on unfavorable terms our rights to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markets where we otherwise would seek to pursue development or commercialization ourselves. Any of the above events could significantly harm our business, prospects, financial condition, and results of operations.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67" w:name="page68"/>
    <w:bookmarkEnd w:id="67"/>
    <w:p>
      <w:pPr>
        <w:ind w:left="640" w:right="8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Raising additional capital may cause dilution to our stockholders, restrict our operations or require us to relinquish rights to our technologies or product candidate.</w:t>
      </w:r>
    </w:p>
    <w:p>
      <w:pPr>
        <w:spacing w:after="0" w:line="34" w:lineRule="exact"/>
        <w:rPr>
          <w:sz w:val="20"/>
          <w:szCs w:val="20"/>
          <w:color w:val="auto"/>
        </w:rPr>
      </w:pPr>
    </w:p>
    <w:p>
      <w:pPr>
        <w:ind w:left="640" w:right="659" w:firstLine="351"/>
        <w:spacing w:after="0" w:line="250" w:lineRule="auto"/>
        <w:rPr>
          <w:sz w:val="20"/>
          <w:szCs w:val="20"/>
          <w:color w:val="auto"/>
        </w:rPr>
      </w:pPr>
      <w:r>
        <w:rPr>
          <w:rFonts w:ascii="Times New Roman" w:cs="Times New Roman" w:eastAsia="Times New Roman" w:hAnsi="Times New Roman"/>
          <w:sz w:val="14"/>
          <w:szCs w:val="14"/>
          <w:color w:val="auto"/>
        </w:rPr>
        <w:t>We expect our expenses to increase in connection with our planned operations. Based upon our current operating plan, we believe that our cash and cash equivalents will fund our operating and capital expenses for at least three years. However, unless and until we can generate a substantial amount of revenue from our current or future intranasal epinephrine technology product candidates, we may seek to finance our future cash needs through public or private equity offerings, royalty-based or debt financings,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 On January 31, 2025, we entered into a Controlled Equity Offering</w:t>
      </w:r>
      <w:r>
        <w:rPr>
          <w:rFonts w:ascii="Times New Roman" w:cs="Times New Roman" w:eastAsia="Times New Roman" w:hAnsi="Times New Roman"/>
          <w:sz w:val="19"/>
          <w:szCs w:val="19"/>
          <w:color w:val="auto"/>
          <w:vertAlign w:val="superscript"/>
        </w:rPr>
        <w:t>SM</w:t>
      </w:r>
      <w:r>
        <w:rPr>
          <w:rFonts w:ascii="Times New Roman" w:cs="Times New Roman" w:eastAsia="Times New Roman" w:hAnsi="Times New Roman"/>
          <w:sz w:val="14"/>
          <w:szCs w:val="14"/>
          <w:color w:val="auto"/>
        </w:rPr>
        <w:t xml:space="preserve"> Sales Agreement (the “ATM Sales Agreement”) pursuant to which we may from time to time offer and sell our common stock to or through Cantor Fitzgerald &amp; Co., acting as sales agent, in any manner deemed to be an “at-the market offering”. We have filed a sales agreement prospectus with the SEC pursuant to which we may offer and sell up to $200.0 million of our common stock pursuant to the ATM Sales Agreement.</w:t>
      </w:r>
    </w:p>
    <w:p>
      <w:pPr>
        <w:spacing w:after="0" w:line="6" w:lineRule="exact"/>
        <w:rPr>
          <w:sz w:val="20"/>
          <w:szCs w:val="20"/>
          <w:color w:val="auto"/>
        </w:rPr>
      </w:pPr>
    </w:p>
    <w:p>
      <w:pPr>
        <w:ind w:left="640" w:right="679"/>
        <w:spacing w:after="0" w:line="258" w:lineRule="auto"/>
        <w:rPr>
          <w:sz w:val="20"/>
          <w:szCs w:val="20"/>
          <w:color w:val="auto"/>
        </w:rPr>
      </w:pPr>
      <w:r>
        <w:rPr>
          <w:rFonts w:ascii="Times New Roman" w:cs="Times New Roman" w:eastAsia="Times New Roman" w:hAnsi="Times New Roman"/>
          <w:sz w:val="14"/>
          <w:szCs w:val="14"/>
          <w:color w:val="auto"/>
        </w:rPr>
        <w:t xml:space="preserve">To the extent that we raise additional capital through the sale of common stock, convertible securities or other equity securities, stockholders’ interests may be diluted, and the terms of these securities could include liquidation or other preferences and anti-dilution protections that could adversely affect our stockholders’ rights. In addition, new debt financing, if available, may result in fixed payment obligations and may involve agreements that include restrictive covenants that further limit our ability to take specific actions, such as incurring additional debt, making capital expenditures, creating liens, redeeming stock or declaring dividends, which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their ability to oversee the commercialization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the development and potential future commercialization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intranasal epinephrine technology product candidates for additional indications.</w:t>
      </w:r>
    </w:p>
    <w:p>
      <w:pPr>
        <w:spacing w:after="0" w:line="147"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If we raise additional funds through collaborations or marketing, distribution or licensing arrangements with third parties, we may have to relinquish valuable rights to our technologies, future revenue streams or product candidates or grant licenses on terms that may not be favorable to us.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 could adversely affect our business and financial condition.</w:t>
      </w:r>
    </w:p>
    <w:p>
      <w:pPr>
        <w:spacing w:after="0" w:line="101"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The rules dealing with U.S. federal, state and local income taxation are constantly under review by persons involved in the legislative process and by the Internal Revenue Service, the U.S. Treasury Department, and state and local taxing authorities.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realization of tax assets or results of operations.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net operating loss carryforwards and certain other tax attributes may be limited.</w:t>
      </w:r>
    </w:p>
    <w:p>
      <w:pPr>
        <w:spacing w:after="0" w:line="101"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have incurred substantial losses during our history. Unused federal net operating losses (“NOLs”) for the tax years beginning before January 1, 2018, will carry forward to offset future taxable income, if any, until such unused losses expire. Unused federal NOLs generated in tax years beginning after December 31, 2017, will not expire and may be carried forward indefinitely, but the deductibility of such federal NOL carryforwards is limited to 80% of taxable income. In addition, both current and future unused losses and other tax attributes may be subject to limitation under Sections 382 and 383 of the Code if we undergo an “ownership change,” generally defined as a greater than 50 percentage point change (by value) in our equity ownership by certain stockholders over a three-year period. The Merger resulted in an ownership change of our company. The NOL carryforwards of pre-Merger, privately-held ARS Pharma may also be subject to limitation as a result of prior shifts in equity ownership and/or the Merger. Additional ownership changes in the future could result in additional limitations on our NOL carryforwards.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For example, California recently imposed limits on the usability of California state NOL carryforwards and certain state tax credits in tax years beginning after 2023 and before 2027. Consequently, even if we achieve profitability in the future, we may not be able to utilize a material portion of our NOL carryforwards and other tax attributes, which could adversely affect our business, cash flow, financial condition or results of operations.</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68" w:name="page69"/>
    <w:bookmarkEnd w:id="68"/>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Legal and Regulatory Environment</w:t>
      </w:r>
    </w:p>
    <w:p>
      <w:pPr>
        <w:spacing w:after="0" w:line="95" w:lineRule="exact"/>
        <w:rPr>
          <w:sz w:val="20"/>
          <w:szCs w:val="20"/>
          <w:color w:val="auto"/>
        </w:rPr>
      </w:pPr>
    </w:p>
    <w:p>
      <w:pPr>
        <w:ind w:left="640" w:right="75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neffy and our current or future intranasal epinephrine technology product candidates are subject to ongoing obligations and continued regulatory review, which may result in significant additional expense. neffy and our current or future intranasal epinephrine technology product candidates could be subject to post-marketing restrictions or withdrawal from the market and we, or any current or future licensing and collaboration partners, may be subject to substantial penalties if we, or they, fail to comply with regulatory requirements or if we, or they, experience unanticipated problems with our products following approval.</w:t>
      </w:r>
    </w:p>
    <w:p>
      <w:pPr>
        <w:spacing w:after="0" w:line="55"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neffy </w:t>
      </w:r>
      <w:r>
        <w:rPr>
          <w:rFonts w:ascii="Times New Roman" w:cs="Times New Roman" w:eastAsia="Times New Roman" w:hAnsi="Times New Roman"/>
          <w:sz w:val="14"/>
          <w:szCs w:val="14"/>
          <w:color w:val="auto"/>
        </w:rPr>
        <w:t>and our current or future intranasal epinephrine technology product candidates, as well as, among other things,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manufacturing processes, post-approval studies, labeling, post-approval pharmacovigilance monitoring, advertising and promotional activities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is subject to ongoing requirements of and review by the FDA, the EMA and other applicable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For certain commercial prescription drug products, manufacturers and other parties involved in the supply chain must also meet chain of distribution requirements and build electronic, interoperable systems for product tracking and tracing and for notifying the FDA and comparable foreign regulatory authorities of counterfeit, diverted, stolen and intentionally adulterated products or other products that are otherwise unfit for distribution in the United States or relevant territory. We and our contract manufacturers will also be subject to user fees and periodic inspection by regulatory authorities to monitor compliance with these requirements and the terms of any product approval we may obtain. Even if regulatory approval of a product candidate is granted, the approval may be subject to limitations on the indications or uses for which the product may be marketed or to the conditions of approval, including the requirement in the United States to implement a Risk Evaluation and Mitigation Strategy or the inclusion of a Boxed Warning, which highlights a specific life-threatening safety risk, or comparable foreign strategies and requirements.</w:t>
      </w:r>
    </w:p>
    <w:p>
      <w:pPr>
        <w:spacing w:after="0" w:line="155"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 xml:space="preserve">The FDA or other regulatory authorities may also impose requirements for costly post-marketing studies or clinical trials and surveillance to monitor the safety or efficacy of a product. For example,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Regulatory authorities impose stringent restrictions on manufacturers’ communications regarding off-label use. However, companies generally may share truthful and not misleading information that is otherwise consistent with a product’s approved labeling. If we, or any current or future licensing and collaboration partners, do not market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for only its approved indications, we, or they, may be subject to warnings or enforcement action for off-label marketing if it is alleged that we are doing so. Violation of laws and regulations relating to the promotion and advertising of prescription drugs may lead to investigations or allegations of violations of federal and state health care fraud and abuse laws and state consumer protection laws, including the False Claims Act and any comparable foreign laws. In the EU, the direct-to-consumer advertising of prescription-only medicinal products is prohibited. Violations of the rules governing the promotion of medicinal products in the EU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69" w:name="page70"/>
    <w:bookmarkEnd w:id="69"/>
    <w:p>
      <w:pPr>
        <w:ind w:left="640" w:right="879" w:firstLine="351"/>
        <w:spacing w:after="0" w:line="292" w:lineRule="auto"/>
        <w:rPr>
          <w:sz w:val="20"/>
          <w:szCs w:val="20"/>
          <w:color w:val="auto"/>
        </w:rPr>
      </w:pPr>
      <w:r>
        <w:rPr>
          <w:rFonts w:ascii="Times New Roman" w:cs="Times New Roman" w:eastAsia="Times New Roman" w:hAnsi="Times New Roman"/>
          <w:sz w:val="14"/>
          <w:szCs w:val="14"/>
          <w:color w:val="auto"/>
        </w:rPr>
        <w:t>In addition, later discovery of previously unknown side effects, adverse events or other problems with our products or their manufacturers or manufacturing processes, or failure to comply with regulatory requirements, may yield various results, including:</w:t>
      </w:r>
    </w:p>
    <w:p>
      <w:pPr>
        <w:spacing w:after="0" w:line="38" w:lineRule="exact"/>
        <w:rPr>
          <w:sz w:val="20"/>
          <w:szCs w:val="20"/>
          <w:color w:val="auto"/>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manufacturing of such products;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labeling or marketing of such products;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product distribution or use;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requirements to conduct post-marketing studies or clinical trials;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warning letters or untitled letters;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the products from the market;</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approve pending applications or supplements to approved applications that we submit;</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recall of products;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coverage by third-party payors;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restitution or disgorgement of profits or revenues;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exclusion from federal health care programs such as Medicare and Medicaid or comparable foreign programs;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variation or withdrawal of regulatory approvals;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permit the import or export of products;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265" w:lineRule="exact"/>
        <w:rPr>
          <w:sz w:val="20"/>
          <w:szCs w:val="20"/>
          <w:color w:val="auto"/>
        </w:rPr>
      </w:pPr>
    </w:p>
    <w:p>
      <w:pPr>
        <w:ind w:left="640" w:right="7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Recently enacted and future legislation may increase the difficulty and cost for us to commercialize neffy or our current or future intranasal epinephrine technology product candidates and affect the prices we may obtain.*</w:t>
      </w:r>
    </w:p>
    <w:p>
      <w:pPr>
        <w:spacing w:after="0" w:line="34" w:lineRule="exact"/>
        <w:rPr>
          <w:sz w:val="20"/>
          <w:szCs w:val="20"/>
          <w:color w:val="auto"/>
        </w:rPr>
      </w:pPr>
    </w:p>
    <w:p>
      <w:pPr>
        <w:ind w:left="640" w:right="759" w:firstLine="351"/>
        <w:spacing w:after="0" w:line="263" w:lineRule="auto"/>
        <w:rPr>
          <w:sz w:val="20"/>
          <w:szCs w:val="20"/>
          <w:color w:val="auto"/>
        </w:rPr>
      </w:pPr>
      <w:r>
        <w:rPr>
          <w:rFonts w:ascii="Times New Roman" w:cs="Times New Roman" w:eastAsia="Times New Roman" w:hAnsi="Times New Roman"/>
          <w:sz w:val="14"/>
          <w:szCs w:val="14"/>
          <w:color w:val="auto"/>
        </w:rPr>
        <w:t xml:space="preserve">In the United States and some foreign jurisdictions, there have been, and we expect there will continue to be, a number of legislative and regulatory changes and proposed changes regarding the healthcare system, including cost-containment measures, that could reduce or limit coverage and reimbursement for newly approved drugs, prevent or delay marketing approval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for potential additional indications, including urticaria, restrict or regulate post-approval activities and affect our ability to profitably sell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for which we obtain marketing approval.</w:t>
      </w:r>
    </w:p>
    <w:p>
      <w:pPr>
        <w:spacing w:after="0" w:line="144" w:lineRule="exact"/>
        <w:rPr>
          <w:sz w:val="20"/>
          <w:szCs w:val="20"/>
          <w:color w:val="auto"/>
        </w:rPr>
      </w:pPr>
    </w:p>
    <w:p>
      <w:pPr>
        <w:ind w:left="640" w:right="699" w:firstLine="397"/>
        <w:spacing w:after="0" w:line="259" w:lineRule="auto"/>
        <w:rPr>
          <w:sz w:val="20"/>
          <w:szCs w:val="20"/>
          <w:color w:val="auto"/>
        </w:rPr>
      </w:pPr>
      <w:r>
        <w:rPr>
          <w:rFonts w:ascii="Times New Roman" w:cs="Times New Roman" w:eastAsia="Times New Roman" w:hAnsi="Times New Roman"/>
          <w:sz w:val="14"/>
          <w:szCs w:val="14"/>
          <w:color w:val="auto"/>
        </w:rPr>
        <w:t>For example, in 2010, the Patient Protection and Affordable Care Act, as amended by the Health Care and Education Reconciliation Act (collectively, the “ACA”), was signed into law. The ACA was intended, among other things,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The ACA and subsequent regulations increased the Medicaid rebates owed by manufacturers under the Medicaid Drug Rebate Program for both branded and generic drugs and revised the definition of “average manufacturer price” for reporting purposes, which could further increase the amount of Medicaid drug rebates to states. However, on March 11, 2021, the American Rescue Plan Act of 2021 was signed into law, which eliminated the statutory Medicaid drug rebate cap for single source and innovator multiple source drugs, effective January 1, 2024. Further, the ACA imposed a significant annual fee on companies that manufacture or import branded prescription drug products, increased the number of entities eligible for discounts under the 340B program and included a discount on brand name drugs for Medicare Part D beneficiaries in the coverage gap, or “donut hole.” Substantial provisions affecting compliance have also been enacted, which may require us to modify our business practices with healthcare practitioners.</w:t>
      </w:r>
    </w:p>
    <w:p>
      <w:pPr>
        <w:spacing w:after="0" w:line="147" w:lineRule="exact"/>
        <w:rPr>
          <w:sz w:val="20"/>
          <w:szCs w:val="20"/>
          <w:color w:val="auto"/>
        </w:rPr>
      </w:pPr>
    </w:p>
    <w:p>
      <w:pPr>
        <w:ind w:left="640" w:right="699" w:firstLine="397"/>
        <w:spacing w:after="0" w:line="262" w:lineRule="auto"/>
        <w:rPr>
          <w:sz w:val="20"/>
          <w:szCs w:val="20"/>
          <w:color w:val="auto"/>
        </w:rPr>
      </w:pPr>
      <w:r>
        <w:rPr>
          <w:rFonts w:ascii="Times New Roman" w:cs="Times New Roman" w:eastAsia="Times New Roman" w:hAnsi="Times New Roman"/>
          <w:sz w:val="14"/>
          <w:szCs w:val="14"/>
          <w:color w:val="auto"/>
        </w:rPr>
        <w:t>Since its enactment, there have been amendments and judicial, executive and Congressional challenges to certain aspects of the ACA. For example, on August 16, 2022, the Inflation Reduction Act of 2022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unclear how any such challenges, and the healthcare reform measures of the second Trump administration will impact the ACA and our business.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70" w:name="page71"/>
    <w:bookmarkEnd w:id="70"/>
    <w:p>
      <w:pPr>
        <w:ind w:left="640" w:right="779" w:firstLine="397"/>
        <w:spacing w:after="0" w:line="268" w:lineRule="auto"/>
        <w:rPr>
          <w:sz w:val="20"/>
          <w:szCs w:val="20"/>
          <w:color w:val="auto"/>
        </w:rPr>
      </w:pPr>
      <w:r>
        <w:rPr>
          <w:rFonts w:ascii="Times New Roman" w:cs="Times New Roman" w:eastAsia="Times New Roman" w:hAnsi="Times New Roman"/>
          <w:sz w:val="14"/>
          <w:szCs w:val="14"/>
          <w:color w:val="auto"/>
        </w:rPr>
        <w:t>In addition, other legislative changes have been proposed and adopted in the United States since the ACA was enacted. These changes include aggregate reductions to Medicare payments to providers of up to two percent per fiscal year pursuant to the Budget Control Act of 2011, which went into effect on April 1, 2013, and due to subsequent legislative amendments, will remain in effect until 2032, unless additional Congressional action is taken.</w:t>
      </w:r>
    </w:p>
    <w:p>
      <w:pPr>
        <w:spacing w:after="0" w:line="140" w:lineRule="exact"/>
        <w:rPr>
          <w:sz w:val="20"/>
          <w:szCs w:val="20"/>
          <w:color w:val="auto"/>
        </w:rPr>
      </w:pPr>
    </w:p>
    <w:p>
      <w:pPr>
        <w:ind w:left="640" w:right="659" w:firstLine="402"/>
        <w:spacing w:after="0" w:line="258" w:lineRule="auto"/>
        <w:rPr>
          <w:sz w:val="20"/>
          <w:szCs w:val="20"/>
          <w:color w:val="auto"/>
        </w:rPr>
      </w:pPr>
      <w:r>
        <w:rPr>
          <w:rFonts w:ascii="Times New Roman" w:cs="Times New Roman" w:eastAsia="Times New Roman" w:hAnsi="Times New Roman"/>
          <w:sz w:val="14"/>
          <w:szCs w:val="14"/>
          <w:color w:val="auto"/>
        </w:rPr>
        <w:t>Recently there has also been heightened governmental scrutiny over the manner in which manufacturers set prices for their marketed products, which has resulted in several U.S.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IRA, among other things, (i) directs the U.S. Department of Health and Human Services (“HHS”) to negotiate the price of certain high-expenditure, single-source drugs that have been on the market for at least 7 years covered under Medicare (the “Medicare Drug Price Negotiation Program”), and subject drug manufacturers to civil monetary penalties and a potential excise tax by offering a price that is not equal to or less than the negotiated “maximum fair price” for such drugs under the law, and (ii) imposes rebates with respect to certain drugs covered under Medicare Part B or Medicare Part D to penalize price increases that outpace inflation. The IRA permits HHS to implement many of these provisions through guidance, as opposed to regulation, for the initial years. HHS has and will continue to issue and update guidance as these programs as implemented. These provisions took effect progressively starting in fiscal year 2023. On August 15, 2024, HHS announced the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321" w:lineRule="exact"/>
        <w:rPr>
          <w:sz w:val="20"/>
          <w:szCs w:val="20"/>
          <w:color w:val="auto"/>
        </w:rPr>
      </w:pPr>
    </w:p>
    <w:p>
      <w:pPr>
        <w:ind w:left="640" w:right="659" w:firstLine="402"/>
        <w:spacing w:after="0" w:line="258" w:lineRule="auto"/>
        <w:rPr>
          <w:sz w:val="20"/>
          <w:szCs w:val="20"/>
          <w:color w:val="auto"/>
        </w:rPr>
      </w:pPr>
      <w:r>
        <w:rPr>
          <w:rFonts w:ascii="Times New Roman" w:cs="Times New Roman" w:eastAsia="Times New Roman" w:hAnsi="Times New Roman"/>
          <w:sz w:val="14"/>
          <w:szCs w:val="14"/>
          <w:color w:val="auto"/>
        </w:rPr>
        <w:t xml:space="preserve">The current administration is pursuing policies to reduce regulations and expenditures across government including at HHS, the FDA, the Centers for Medicare &amp; Medicaid Services (“CMS”) and related agencies. These actions, presently directed by executive orders or memoranda from the Office of Management and Budget, may propose policy changes that create additional uncertainty for our business. These actions include, for example: (1) directives to reduce agency workforce and cut programs; (2) rescinding a Biden administration executive order tasking the Center for Medicare and Medicaid Innovation to consider new payment and healthcare models to limit drug spending; (3) eliminating the Biden administration’s executive order that directed HHS to establishing an AI task force and developing a strategic plan; (4) directing HHS and other agencies to lower prescription drug costs through a variety of initiatives, including by improving upon the Medicare Drug Price Negotiation Program and establishing “Most-Favored-Nation” pricing for pharmaceutical products; and (5) directing certain federal agencies to enforce existing law regarding hospital and price plan transparency and by standardizing prices across hospitals and health plans. Additionally, in its June 2024 decision in </w:t>
      </w:r>
      <w:r>
        <w:rPr>
          <w:rFonts w:ascii="Times New Roman" w:cs="Times New Roman" w:eastAsia="Times New Roman" w:hAnsi="Times New Roman"/>
          <w:sz w:val="14"/>
          <w:szCs w:val="14"/>
          <w:i w:val="1"/>
          <w:iCs w:val="1"/>
          <w:color w:val="auto"/>
        </w:rPr>
        <w:t>Loper Bright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Enterprises v. Raimondo</w:t>
      </w:r>
      <w:r>
        <w:rPr>
          <w:rFonts w:ascii="Times New Roman" w:cs="Times New Roman" w:eastAsia="Times New Roman" w:hAnsi="Times New Roman"/>
          <w:sz w:val="14"/>
          <w:szCs w:val="14"/>
          <w:color w:val="auto"/>
        </w:rPr>
        <w:t>, the U.S. Supreme Court overturned the longstanding Chevron doctrine, under which courts were required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among others, impact the drug approval process, modify the Medicare Drug Price Negotiation Program, expand the orphan drug exclusion in the IRA, and reduce Medicaid enrollment and funding.</w:t>
      </w:r>
    </w:p>
    <w:p>
      <w:pPr>
        <w:spacing w:after="0" w:line="152" w:lineRule="exact"/>
        <w:rPr>
          <w:sz w:val="20"/>
          <w:szCs w:val="20"/>
          <w:color w:val="auto"/>
        </w:rPr>
      </w:pPr>
    </w:p>
    <w:p>
      <w:pPr>
        <w:ind w:left="640" w:right="719" w:firstLine="397"/>
        <w:spacing w:after="0" w:line="259" w:lineRule="auto"/>
        <w:rPr>
          <w:sz w:val="20"/>
          <w:szCs w:val="20"/>
          <w:color w:val="auto"/>
        </w:rPr>
      </w:pPr>
      <w:r>
        <w:rPr>
          <w:rFonts w:ascii="Times New Roman" w:cs="Times New Roman" w:eastAsia="Times New Roman" w:hAnsi="Times New Roman"/>
          <w:sz w:val="14"/>
          <w:szCs w:val="14"/>
          <w:color w:val="auto"/>
        </w:rPr>
        <w:t>We cannot predict the likelihood, nature or extent of government regulation that may arise from future legislation or administrative action, either in the United States or abroad. As an example, the regulatory landscape related to clinical trials in the EU has evolved. The EU Clinical Trials Regulation (“CTR”), which was adopted in April 2014 and repeals the EU Clinical Trials Directive, became applicable on January 31, 2022.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 portal. Once the clinical trial approved, clinical study development may proceed. The CTR foresaw a three-year transition period which ended on January 31, 2025. Since this date, all new or ongoing trials are subject to the provisions of the CTR Compliance with the CTR requirements by us and our third-party service providers, such as CROs, may impact our developments plans.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71" w:name="page72"/>
    <w:bookmarkEnd w:id="71"/>
    <w:p>
      <w:pPr>
        <w:ind w:left="640" w:right="719" w:firstLine="402"/>
        <w:spacing w:after="0" w:line="262" w:lineRule="auto"/>
        <w:rPr>
          <w:sz w:val="20"/>
          <w:szCs w:val="20"/>
          <w:color w:val="auto"/>
        </w:rPr>
      </w:pPr>
      <w:r>
        <w:rPr>
          <w:rFonts w:ascii="Times New Roman" w:cs="Times New Roman" w:eastAsia="Times New Roman" w:hAnsi="Times New Roman"/>
          <w:sz w:val="14"/>
          <w:szCs w:val="14"/>
          <w:color w:val="auto"/>
        </w:rPr>
        <w:t>In addition, on April 26, 2023, the European Commission adopted a proposal for a new Directive and Regulation to revise the existing pharmaceutical legislation and on April 10, 2024, the Parliament adopted its related position. The proposed revisions remain to be agreed and adopted by the European Council. Moreover, on December 1, 2024, a new European Commission took office. The proposal could, therefore, still be subject to revisions. If adopted in the form proposed, the recent European Commission proposals to revise the existing EU laws governing authorization of medicinal products may result in a decrease in data and market exclusivity opportunities for our current or future intranasal epinephrine technology product candidates in the EU and make them open to generic or biosimilar competition earlier than is currently the case with a related reduction in reimbursement status.</w:t>
      </w:r>
    </w:p>
    <w:p>
      <w:pPr>
        <w:spacing w:after="0" w:line="144" w:lineRule="exact"/>
        <w:rPr>
          <w:sz w:val="20"/>
          <w:szCs w:val="20"/>
          <w:color w:val="auto"/>
        </w:rPr>
      </w:pPr>
    </w:p>
    <w:p>
      <w:pPr>
        <w:ind w:left="640" w:right="679" w:firstLine="402"/>
        <w:spacing w:after="0" w:line="259" w:lineRule="auto"/>
        <w:rPr>
          <w:sz w:val="20"/>
          <w:szCs w:val="20"/>
          <w:color w:val="auto"/>
        </w:rPr>
      </w:pPr>
      <w:r>
        <w:rPr>
          <w:rFonts w:ascii="Times New Roman" w:cs="Times New Roman" w:eastAsia="Times New Roman" w:hAnsi="Times New Roman"/>
          <w:sz w:val="14"/>
          <w:szCs w:val="14"/>
          <w:color w:val="auto"/>
        </w:rPr>
        <w:t>Following Brexit, the UK and the EU signed an EU-UK Trade and Cooperation Agreement (“TCA”) which became provisionally applicable on January 1, 2021 and entered into force on May 1, 2021. This agreement sets out some aspects of the UK and EU’s relationship post-Brexit. The TCA primarily focuses on ensuring free trade between the EU and the UK in relation to goods, including medicinal products. Among the changes that have occurred are that the UK is treated as a “third country”, a country that is not a member of the EU and whose citizens do not enjoy the EU right to free movement (Northern Ireland continues to follow certain limited EU regulatory rules, including in relation to medical devices, but not in relation to medicinal products). As part of the TCA, the EU and the UK recognize GMP inspections carried out by the other party and the acceptance of official 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UK has unilaterally agreed to accept EU batch testing and batch release. However, the EU continues to apply EU laws that require batch testing and batch release to take place in the EU territory. This means that medicinal products that are tested and released in the UK must be retested and re-released when entering the EU market for commercial use.</w:t>
      </w:r>
    </w:p>
    <w:p>
      <w:pPr>
        <w:spacing w:after="0" w:line="149" w:lineRule="exact"/>
        <w:rPr>
          <w:sz w:val="20"/>
          <w:szCs w:val="20"/>
          <w:color w:val="auto"/>
        </w:rPr>
      </w:pPr>
    </w:p>
    <w:p>
      <w:pPr>
        <w:ind w:left="640" w:right="719" w:firstLine="402"/>
        <w:spacing w:after="0" w:line="261" w:lineRule="auto"/>
        <w:rPr>
          <w:sz w:val="20"/>
          <w:szCs w:val="20"/>
          <w:color w:val="auto"/>
        </w:rPr>
      </w:pPr>
      <w:r>
        <w:rPr>
          <w:rFonts w:ascii="Times New Roman" w:cs="Times New Roman" w:eastAsia="Times New Roman" w:hAnsi="Times New Roman"/>
          <w:sz w:val="14"/>
          <w:szCs w:val="14"/>
          <w:color w:val="auto"/>
        </w:rPr>
        <w:t>On February 27, 2023, the UK Government and the European Commission reached a political agreement on the so-called “Windsor Framework”. The Windsor Framework is intended to revise the Northern Ireland Protocol to address some of the perceived shortcomings in its operation. The agreement was adopted at the Withdrawal Agreement Joint Committee on March 24, 2023, and the arrangements under the Windsor Framework relating to medicinal products took effect on January 1, 2025. As it relates to marketing authorizations, the United Kingdom has a separate regulatory submission process, approval process and a separate national marketing authorization. Northern Ireland continued, until January 1, 2025, to be covered by the marketing authorizations granted by the European Commission but the Windsor Framework provides that the UK MHRA is the sole regulatory body responsible for granting marketing authorizations for Northern Ireland as of January 1, 2025.</w:t>
      </w:r>
    </w:p>
    <w:p>
      <w:pPr>
        <w:spacing w:after="0" w:line="146" w:lineRule="exact"/>
        <w:rPr>
          <w:sz w:val="20"/>
          <w:szCs w:val="20"/>
          <w:color w:val="auto"/>
        </w:rPr>
      </w:pPr>
    </w:p>
    <w:p>
      <w:pPr>
        <w:ind w:left="640" w:right="759" w:firstLine="402"/>
        <w:spacing w:after="0" w:line="268" w:lineRule="auto"/>
        <w:rPr>
          <w:sz w:val="20"/>
          <w:szCs w:val="20"/>
          <w:color w:val="auto"/>
        </w:rPr>
      </w:pPr>
      <w:r>
        <w:rPr>
          <w:rFonts w:ascii="Times New Roman" w:cs="Times New Roman" w:eastAsia="Times New Roman" w:hAnsi="Times New Roman"/>
          <w:sz w:val="14"/>
          <w:szCs w:val="14"/>
          <w:color w:val="auto"/>
        </w:rPr>
        <w:t>A significant proportion of the regulatory framework in the UK applicable to medicinal products is currently derived from EU Directives and Regulations. The potential for UK legislation to diverge from EU legislation following Brexit could materially impact the regulatory regime with respect to the development, manufacture, import, approval, and commercialization of our product candidates in the UK or the EU.</w:t>
      </w:r>
    </w:p>
    <w:p>
      <w:pPr>
        <w:spacing w:after="0" w:line="140" w:lineRule="exact"/>
        <w:rPr>
          <w:sz w:val="20"/>
          <w:szCs w:val="20"/>
          <w:color w:val="auto"/>
        </w:rPr>
      </w:pPr>
    </w:p>
    <w:p>
      <w:pPr>
        <w:ind w:left="640" w:right="659" w:firstLine="402"/>
        <w:spacing w:after="0" w:line="263" w:lineRule="auto"/>
        <w:rPr>
          <w:sz w:val="20"/>
          <w:szCs w:val="20"/>
          <w:color w:val="auto"/>
        </w:rPr>
      </w:pPr>
      <w:r>
        <w:rPr>
          <w:rFonts w:ascii="Times New Roman" w:cs="Times New Roman" w:eastAsia="Times New Roman" w:hAnsi="Times New Roman"/>
          <w:sz w:val="14"/>
          <w:szCs w:val="14"/>
          <w:color w:val="auto"/>
        </w:rPr>
        <w:t>All of these changes could increase our costs and otherwise adversely affect our business. Any delay in obtaining, or an inability to obtain, any regulatory approvals, as a result of Brexit or otherwise, would prevent us from commercializing our product candidates in the UK and restrict our ability to generate revenue and achieve and sustain profitability in the future.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w:t>
      </w:r>
    </w:p>
    <w:p>
      <w:pPr>
        <w:spacing w:after="0" w:line="144" w:lineRule="exact"/>
        <w:rPr>
          <w:sz w:val="20"/>
          <w:szCs w:val="20"/>
          <w:color w:val="auto"/>
        </w:rPr>
      </w:pPr>
    </w:p>
    <w:p>
      <w:pPr>
        <w:ind w:left="640" w:right="699" w:firstLine="402"/>
        <w:spacing w:after="0" w:line="268" w:lineRule="auto"/>
        <w:rPr>
          <w:sz w:val="20"/>
          <w:szCs w:val="20"/>
          <w:color w:val="auto"/>
        </w:rPr>
      </w:pPr>
      <w:r>
        <w:rPr>
          <w:rFonts w:ascii="Times New Roman" w:cs="Times New Roman" w:eastAsia="Times New Roman" w:hAnsi="Times New Roman"/>
          <w:sz w:val="14"/>
          <w:szCs w:val="14"/>
          <w:color w:val="auto"/>
        </w:rPr>
        <w:t xml:space="preserve">These laws and the regulations and policies implementing them, as well as other healthcare reform measures that may be adopted in the future, particularly in light of the upcoming U.S. presidential and Congressional elections, may have a material adverse effect on our industry generally and on our ability to successfully develop and 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72" w:name="page73"/>
    <w:bookmarkEnd w:id="72"/>
    <w:p>
      <w:pPr>
        <w:ind w:left="640" w:right="10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Disruptions at the FDA, including due to a reduction in the FDA’s workforce and/or inadequate funding for the FDA, could prevent the FDA from performing normal functions on which our business relies.*</w:t>
      </w:r>
    </w:p>
    <w:p>
      <w:pPr>
        <w:spacing w:after="0" w:line="120" w:lineRule="exact"/>
        <w:rPr>
          <w:sz w:val="20"/>
          <w:szCs w:val="20"/>
          <w:color w:val="auto"/>
        </w:rPr>
      </w:pPr>
    </w:p>
    <w:p>
      <w:pPr>
        <w:ind w:left="640" w:right="659" w:firstLine="402"/>
        <w:spacing w:after="0" w:line="259" w:lineRule="auto"/>
        <w:rPr>
          <w:sz w:val="20"/>
          <w:szCs w:val="20"/>
          <w:color w:val="auto"/>
        </w:rPr>
      </w:pPr>
      <w:r>
        <w:rPr>
          <w:rFonts w:ascii="Times New Roman" w:cs="Times New Roman" w:eastAsia="Times New Roman" w:hAnsi="Times New Roman"/>
          <w:sz w:val="14"/>
          <w:szCs w:val="14"/>
          <w:color w:val="auto"/>
        </w:rPr>
        <w:t>The ability of the FDA to review and approve new products or review other regulatory submissions can be affected by a variety of factors, including statutory, regulatory and policy changes, inadequate government budget and funding levels, a reduction in the FDA’s workforce and its ability to hire and retain key personnel. Disruptions at the FDA and other agencies may also increase the time to meet with and receive agency feedback, review and/or approve our submissions, conduct inspections, issue regulatory guidance, or take other actions that facilitate the development, approval and marketing of regulated products, which would adversely affect our business. In addition, government proposals to reduce or eliminate budgetary deficits may include reduced allocations to the FDA and other related government agencies. For example, the recently established Department of Government Efficiency implemented a federal government hiring freeze and announced certain additional efforts to reduce federal government employee headcount and the size of the federal government. The reductions in the FDA’s workforce and budgetary pressures could significantly impact the ability of the FDA to timely review and process our regulatory submissions or take other actions critical to the marketing of our products which could have a material adverse effect on our business.</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Governments outside the United States may impose strict price controls, which may adversely affect our revenues, if any.</w:t>
      </w:r>
    </w:p>
    <w:p>
      <w:pPr>
        <w:spacing w:after="0" w:line="101" w:lineRule="exact"/>
        <w:rPr>
          <w:sz w:val="20"/>
          <w:szCs w:val="20"/>
          <w:color w:val="auto"/>
        </w:rPr>
      </w:pPr>
    </w:p>
    <w:p>
      <w:pPr>
        <w:ind w:left="640" w:right="659" w:firstLine="351"/>
        <w:spacing w:after="0" w:line="257" w:lineRule="auto"/>
        <w:rPr>
          <w:sz w:val="20"/>
          <w:szCs w:val="20"/>
          <w:color w:val="auto"/>
        </w:rPr>
      </w:pPr>
      <w:r>
        <w:rPr>
          <w:rFonts w:ascii="Times New Roman" w:cs="Times New Roman" w:eastAsia="Times New Roman" w:hAnsi="Times New Roman"/>
          <w:sz w:val="14"/>
          <w:szCs w:val="14"/>
          <w:color w:val="auto"/>
        </w:rPr>
        <w:t>In some countries, including certain Member States of the EU, the pricing of prescription drugs is, in part, subject to governmental control. Additional countries may adopt similar approaches to the pricing of prescription drugs. In such countries, pricing negotiations with governmental authorities can take considerable time after receipt of regulatory approval for a product. The EU provides options for the EU Member States to restrict the range of drug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drug products, but monitor and control prescription volumes and issue guidance to physicians to limit prescriptions.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In some countries, we may be required to conduct a clinical study or other studies that compare the cost-effectiveness of our current or future intranasal epinephrine technology product candidates to other available therapies in order to obtain or maintain reimbursement or pricing approval, which is time-consuming and costly. This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amending Directive 2011/24/EU, was adopted in the EU. This Regulation, which entered into force in January 2022 and began to apply on January 12, 2025 through a phased implementation, is intended to boost cooperation among EU Member States in assessing health technologies, including new medicinal products, and providing the basis for cooperation at EU level for joint clinical assessments in these areas. The Regulation foresees a three-year transitional period and permits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continue to be responsible for assessing non-clinical (e.g., economic, social, ethical) aspects of health technologies, and making decisions on pricing and reimbursement.</w:t>
      </w:r>
    </w:p>
    <w:p>
      <w:pPr>
        <w:spacing w:after="0" w:line="156"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We cannot be sure that such prices and reimbursement will be acceptable to us.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by us or our strategic partners and the potential profitability of our current or future intranasal epinephrine technology product candidates in those countries would be negatively affected.</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73" w:name="page74"/>
    <w:bookmarkEnd w:id="73"/>
    <w:p>
      <w:pPr>
        <w:ind w:left="640" w:right="7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business activities may be subject to the FCPA and similar anti-bribery and anti-corruption laws of other countries in which we may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48"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 xml:space="preserve">If we further expand our operations outside of the United States, we must dedicate additional resources to comply with numerous laws and regulations in each jurisdiction in which we plan to operate. Our business activities may be subject to the Foreign Corrupt Practices Act (“FCPA”) and similar anti-bribery or anti-corruption laws, regulations or rules of other countries in which we operate. The FCPA generally prohibits companies and their employees and third-party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employees, disgorgement, and other sanctions and remedial measures, and prohibitions on the conduct of our business. Any such violations could include prohibitions on our ability to offer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one or more countries and could materially damage our reputation, brand, international activities, ability to attract and retain employees, and business, prospects, operating results and financial condition.</w:t>
      </w:r>
    </w:p>
    <w:p>
      <w:pPr>
        <w:spacing w:after="0" w:line="149" w:lineRule="exact"/>
        <w:rPr>
          <w:sz w:val="20"/>
          <w:szCs w:val="20"/>
          <w:color w:val="auto"/>
        </w:rPr>
      </w:pPr>
    </w:p>
    <w:p>
      <w:pPr>
        <w:ind w:left="640" w:right="699" w:firstLine="351"/>
        <w:spacing w:after="0" w:line="258" w:lineRule="auto"/>
        <w:rPr>
          <w:sz w:val="20"/>
          <w:szCs w:val="20"/>
          <w:color w:val="auto"/>
        </w:rPr>
      </w:pPr>
      <w:r>
        <w:rPr>
          <w:rFonts w:ascii="Times New Roman" w:cs="Times New Roman" w:eastAsia="Times New Roman" w:hAnsi="Times New Roman"/>
          <w:sz w:val="14"/>
          <w:szCs w:val="14"/>
          <w:color w:val="auto"/>
        </w:rPr>
        <w:t xml:space="preserve">In addition,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may be subject to U.S. and foreign export controls, trade sanctions and import laws and regulations. Governmental regulation of the import or export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or our failure to obtain any required import or export authorization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when applicable, could harm our international sales and adversely affect our revenue. Compliance with applicable regulatory requirements regarding the export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may create delays in the introduction of any additional indications in international markets or, in some cases, prevent the export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by, or in our decreased ability to export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to existing or potential customers with international operations. Any decreased use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or limitation on our ability to export or sell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would likely adversely affect our business.</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74" w:name="page75"/>
    <w:bookmarkEnd w:id="74"/>
    <w:p>
      <w:pPr>
        <w:ind w:left="640" w:right="7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relationships with customers, health care professionals and third-party payors may be subject to applicable healthcare laws, which could expose us to penalties, including administrative, civil or criminal penalties, damages, fines, imprisonment, exclusion from participation in federal healthcare programs such as Medicare and Medicaid, reputational harm, the curtailment or restructuring of our operations and diminished future profits and earnings.*</w:t>
      </w:r>
    </w:p>
    <w:p>
      <w:pPr>
        <w:spacing w:after="0" w:line="51"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 xml:space="preserve">Healthcare professionals and third-party payors will play a primary role in the recommendation and prescription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for which we obtain marketing approval. Our current and future arrangements with customers, healthcare professionals and third-party payors may expose us to broadly applicable fraud and abuse and other healthcare laws and regulations that may constrain the business or financial arrangements and relationships through which we conduct research, market, sell and distribute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for which we obtain marketing approval. Restrictions under applicable federal and state healthcare laws and regulations include the following, among others:</w:t>
      </w:r>
    </w:p>
    <w:p>
      <w:pPr>
        <w:spacing w:after="0" w:line="61" w:lineRule="exact"/>
        <w:rPr>
          <w:sz w:val="20"/>
          <w:szCs w:val="20"/>
          <w:color w:val="auto"/>
        </w:rPr>
      </w:pPr>
    </w:p>
    <w:p>
      <w:pPr>
        <w:ind w:left="1340" w:right="779" w:hanging="352"/>
        <w:spacing w:after="0" w:line="260" w:lineRule="auto"/>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 exceptions and safe harbors are drawn narrowly, and practices that involve remuneration intended to induce prescribing, purchasing or recommending may be subject to scrutiny if they do not qualify for an exception or safe harbor. Further a person or entity does not need to have actual knowledge of the statute or specific intent to violate it in order to have committed a violation;</w:t>
      </w:r>
    </w:p>
    <w:p>
      <w:pPr>
        <w:spacing w:after="0" w:line="62" w:lineRule="exact"/>
        <w:rPr>
          <w:rFonts w:ascii="Times New Roman" w:cs="Times New Roman" w:eastAsia="Times New Roman" w:hAnsi="Times New Roman"/>
          <w:sz w:val="14"/>
          <w:szCs w:val="14"/>
          <w:color w:val="auto"/>
        </w:rPr>
      </w:pPr>
    </w:p>
    <w:p>
      <w:pPr>
        <w:ind w:left="1340" w:right="659" w:hanging="352"/>
        <w:spacing w:after="0" w:line="260" w:lineRule="auto"/>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civil and criminal false claims laws, including the False Claims Act, prohibit any person from knowingly presenting, or causing to be presented, a false claim for payment to the federal government or knowingly making, or causing to be made, a false statement to get a false claim paid. Over the past few years, several pharmaceutical and other healthcare companies have been prosecuted under these laws for a variety of alleged promotional and marketing activities, including: allegedly providing free items and services, sham consulting fees and grants and other monetary benefits to prescribers; reporting to pricing services inflated average wholesale prices that were then used by federal programs to set reimbursement rates; engaging in off-label promotion that caused claims to be submitted to government healthcare programs for non-covered, off-label uses; and submitting inflated best price information to the Medicaid Drug Rebate Program to reduce liability for Medicaid rebates. In addition, the government may assert that a claim including items or services resulting from a violation of the federal Anti-Kickback Statute constitutes a false or fraudulent claim for purposes of the federal False Claims Act;</w:t>
      </w:r>
    </w:p>
    <w:p>
      <w:pPr>
        <w:spacing w:after="0" w:line="232" w:lineRule="exact"/>
        <w:rPr>
          <w:rFonts w:ascii="Times New Roman" w:cs="Times New Roman" w:eastAsia="Times New Roman" w:hAnsi="Times New Roman"/>
          <w:sz w:val="14"/>
          <w:szCs w:val="14"/>
          <w:color w:val="auto"/>
        </w:rPr>
      </w:pPr>
    </w:p>
    <w:p>
      <w:pPr>
        <w:ind w:left="1340" w:right="659" w:hanging="352"/>
        <w:spacing w:after="0" w:line="268" w:lineRule="auto"/>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civil monetary penalties laws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54" w:lineRule="exact"/>
        <w:rPr>
          <w:rFonts w:ascii="Times New Roman" w:cs="Times New Roman" w:eastAsia="Times New Roman" w:hAnsi="Times New Roman"/>
          <w:sz w:val="14"/>
          <w:szCs w:val="14"/>
          <w:color w:val="auto"/>
        </w:rPr>
      </w:pPr>
    </w:p>
    <w:p>
      <w:pPr>
        <w:ind w:left="1340" w:right="699" w:hanging="352"/>
        <w:spacing w:after="0" w:line="261" w:lineRule="auto"/>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which prohibits, among other things, knowingly and willfully executing, or attempting to execute, a scheme to defraud any healthcare benefit program or obtain, by means of false or fraudulent pretenses, representations, or promises, of any of the money or property owned by, or under the custody or control of, any healthcare benefit program, regardless or the payor (e.g., public or private),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like the federal Anti-Kickback Statute, a person or entity does not need to have actual knowledge of the statute or specific intent to violate it in order to have committed a violation;</w:t>
      </w:r>
    </w:p>
    <w:p>
      <w:pPr>
        <w:spacing w:after="0" w:line="59" w:lineRule="exact"/>
        <w:rPr>
          <w:rFonts w:ascii="Times New Roman" w:cs="Times New Roman" w:eastAsia="Times New Roman" w:hAnsi="Times New Roman"/>
          <w:sz w:val="14"/>
          <w:szCs w:val="14"/>
          <w:color w:val="auto"/>
        </w:rPr>
      </w:pPr>
    </w:p>
    <w:p>
      <w:pPr>
        <w:ind w:left="1340" w:right="959" w:hanging="352"/>
        <w:spacing w:after="0" w:line="263" w:lineRule="auto"/>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Physician Payment Sunshine Act, which requires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physicians and their immediate family members;</w:t>
      </w:r>
    </w:p>
    <w:p>
      <w:pPr>
        <w:spacing w:after="0" w:line="58" w:lineRule="exact"/>
        <w:rPr>
          <w:rFonts w:ascii="Times New Roman" w:cs="Times New Roman" w:eastAsia="Times New Roman" w:hAnsi="Times New Roman"/>
          <w:sz w:val="14"/>
          <w:szCs w:val="14"/>
          <w:color w:val="auto"/>
        </w:rPr>
      </w:pPr>
    </w:p>
    <w:p>
      <w:pPr>
        <w:ind w:left="1340" w:right="659" w:hanging="352"/>
        <w:spacing w:after="0" w:line="263" w:lineRule="auto"/>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as amended by the Health Information Technology for Economic and Clinical Health Act of 2009 (“HITECH”), and their respective implementing regulations, which impose obligations on “covered entities,” including certain healthcare providers, health plans, and healthcare clearinghouses, as well as their respective “business associates” and their covered subcontractors that create, receive, maintain or transmit individually identifiable health information for or on behalf of a covered entity, with respect to safeguarding the privacy, security and transmission of individually identifiable health information;</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75" w:name="page76"/>
    <w:bookmarkEnd w:id="75"/>
    <w:p>
      <w:pPr>
        <w:ind w:left="1340" w:right="979" w:hanging="352"/>
        <w:spacing w:after="0" w:line="274"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price reporting laws require manufactures to calculate and report complex pricing metrics to government programs, where such reported prices may be used in the calculation of reimbursement and/or discounts on approved products;</w:t>
      </w:r>
    </w:p>
    <w:p>
      <w:pPr>
        <w:spacing w:after="0" w:line="50" w:lineRule="exact"/>
        <w:rPr>
          <w:rFonts w:ascii="Times New Roman" w:cs="Times New Roman" w:eastAsia="Times New Roman" w:hAnsi="Times New Roman"/>
          <w:sz w:val="14"/>
          <w:szCs w:val="14"/>
          <w:color w:val="auto"/>
        </w:rPr>
      </w:pPr>
    </w:p>
    <w:p>
      <w:pPr>
        <w:ind w:left="1340" w:right="839" w:hanging="352"/>
        <w:spacing w:after="0" w:line="292"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consumer protection and unfair competition laws broadly regulate marketplace activities and activities that potentially harm consumers; and</w:t>
      </w:r>
    </w:p>
    <w:p>
      <w:pPr>
        <w:spacing w:after="0" w:line="37" w:lineRule="exact"/>
        <w:rPr>
          <w:rFonts w:ascii="Times New Roman" w:cs="Times New Roman" w:eastAsia="Times New Roman" w:hAnsi="Times New Roman"/>
          <w:sz w:val="14"/>
          <w:szCs w:val="14"/>
          <w:color w:val="auto"/>
        </w:rPr>
      </w:pPr>
    </w:p>
    <w:p>
      <w:pPr>
        <w:ind w:left="1340" w:right="659" w:hanging="352"/>
        <w:spacing w:after="0" w:line="260"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and foreign laws and regulations of each of the laws described above, such as anti-kickback and false claims laws, that may apply to sales or marketing arrangements and claims involving healthcare items or services reimbursed by non-governmental third-party payors, including private insurers; laws that require biotechnology companies to comply with the industry’s voluntary compliance guidelines and the relevant compliance guidance promulgated by the government and may require drug manufacturers to report information related to payments and other transfers of value to physicians and other healthcare providers or marketing expenditures; laws that require biotechnology companies to report information on the pricing of certain drug products; and laws require the registration or pharmaceutical sales representatives. For example, in the EU, interactions between pharmaceutical companies and healthcare professionals and healthcare organizations are also governed by strict laws, regulations, industry self-regulation codes of conduct and physicians’ codes of professional conduct both at EU level and in the individual EU Member States.</w:t>
      </w:r>
    </w:p>
    <w:p>
      <w:pPr>
        <w:spacing w:after="0" w:line="146" w:lineRule="exact"/>
        <w:rPr>
          <w:sz w:val="20"/>
          <w:szCs w:val="20"/>
          <w:color w:val="auto"/>
        </w:rPr>
      </w:pPr>
    </w:p>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auto"/>
        </w:rPr>
        <w:t xml:space="preserve">Because of the breadth of these laws and the narrowness of available statutory exceptions and regulatory safe harbors, it is possible that some of our business activities, particularly any sales and marketing activities from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that have been approved for marketing in the United States or elsewhere, could be subject to legal challenge and enforcement actions. If our operations, or those of our partners and collaborators, are found to be in violation of any of the laws described above or any other governmental regulations that apply to us, we may be subject to significant penalties, including administrative, civil and criminal penalties, damages, fines, disgorgement, exclusion from governmental health care programs, a corporate integrity agreement or other agreement to resolve allegations of non-compliance, imprisonment, and the curtailment or restructuring of our operations, any of which could adversely affect our ability to operate our business and our financial results.</w:t>
      </w:r>
    </w:p>
    <w:p>
      <w:pPr>
        <w:spacing w:after="0" w:line="400" w:lineRule="exact"/>
        <w:rPr>
          <w:sz w:val="20"/>
          <w:szCs w:val="20"/>
          <w:color w:val="auto"/>
        </w:rPr>
      </w:pPr>
    </w:p>
    <w:p>
      <w:pPr>
        <w:ind w:left="640" w:right="79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We and the third parties with whom we work are subject to stringent and evolving U.S. and foreign laws, regulations,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57" w:lineRule="exact"/>
        <w:rPr>
          <w:sz w:val="20"/>
          <w:szCs w:val="20"/>
          <w:color w:val="auto"/>
        </w:rPr>
      </w:pPr>
    </w:p>
    <w:p>
      <w:pPr>
        <w:ind w:left="640" w:right="679" w:firstLine="397"/>
        <w:spacing w:after="0" w:line="274" w:lineRule="auto"/>
        <w:rPr>
          <w:sz w:val="20"/>
          <w:szCs w:val="20"/>
          <w:color w:val="auto"/>
        </w:rPr>
      </w:pPr>
      <w:r>
        <w:rPr>
          <w:rFonts w:ascii="Times New Roman" w:cs="Times New Roman" w:eastAsia="Times New Roman" w:hAnsi="Times New Roman"/>
          <w:sz w:val="14"/>
          <w:szCs w:val="14"/>
          <w:color w:val="auto"/>
        </w:rPr>
        <w:t>In the ordinary course of business, we process sensitive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36" w:lineRule="exact"/>
        <w:rPr>
          <w:sz w:val="20"/>
          <w:szCs w:val="20"/>
          <w:color w:val="auto"/>
        </w:rPr>
      </w:pPr>
    </w:p>
    <w:p>
      <w:pPr>
        <w:ind w:left="640" w:right="659" w:firstLine="397"/>
        <w:spacing w:after="0" w:line="261" w:lineRule="auto"/>
        <w:rPr>
          <w:sz w:val="20"/>
          <w:szCs w:val="20"/>
          <w:color w:val="auto"/>
        </w:rPr>
      </w:pPr>
      <w:r>
        <w:rPr>
          <w:rFonts w:ascii="Times New Roman" w:cs="Times New Roman" w:eastAsia="Times New Roman" w:hAnsi="Times New Roman"/>
          <w:sz w:val="14"/>
          <w:szCs w:val="14"/>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Controlling the Assault of Non-Solicited Pornography and Marketing Act of 2003 ("CAN-SPAM”) and the Telephone Consumer Protection Act of 1991 (“TCPA”) impose specific requirements on communications with customers. The TCPA, for example,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spacing w:after="0" w:line="146" w:lineRule="exact"/>
        <w:rPr>
          <w:sz w:val="20"/>
          <w:szCs w:val="20"/>
          <w:color w:val="auto"/>
        </w:rPr>
      </w:pPr>
    </w:p>
    <w:p>
      <w:pPr>
        <w:ind w:left="640" w:right="659" w:firstLine="402"/>
        <w:spacing w:after="0" w:line="259" w:lineRule="auto"/>
        <w:rPr>
          <w:sz w:val="20"/>
          <w:szCs w:val="20"/>
          <w:color w:val="auto"/>
        </w:rPr>
      </w:pPr>
      <w:r>
        <w:rPr>
          <w:rFonts w:ascii="Times New Roman" w:cs="Times New Roman" w:eastAsia="Times New Roman" w:hAnsi="Times New Roman"/>
          <w:sz w:val="14"/>
          <w:szCs w:val="14"/>
          <w:color w:val="auto"/>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any product that receives regulatory approval.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(the “CCPA”), applies to personal information of consumers, business representatives, and employees, and requires businesses to provide specific disclosures in privacy notices and honor requests of California residents to exercise certain privacy rights. The CCPA provides for civil penalties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Similar laws are being considered in several other states, as well as at the federal and local levels, and we expect more states to pass similar laws in the future.</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20" w:right="1440" w:bottom="1440" w:gutter="0" w:footer="0" w:header="0"/>
        </w:sectPr>
      </w:pPr>
    </w:p>
    <w:bookmarkStart w:id="76" w:name="page77"/>
    <w:bookmarkEnd w:id="76"/>
    <w:p>
      <w:pPr>
        <w:ind w:left="640" w:right="659" w:firstLine="402"/>
        <w:spacing w:after="0" w:line="265" w:lineRule="auto"/>
        <w:rPr>
          <w:sz w:val="20"/>
          <w:szCs w:val="20"/>
          <w:color w:val="auto"/>
        </w:rPr>
      </w:pPr>
      <w:r>
        <w:rPr>
          <w:rFonts w:ascii="Times New Roman" w:cs="Times New Roman" w:eastAsia="Times New Roman" w:hAnsi="Times New Roman"/>
          <w:sz w:val="14"/>
          <w:szCs w:val="14"/>
          <w:color w:val="auto"/>
        </w:rPr>
        <w:t>Additionally, we are subject to new laws governing the privacy of consumer health data, including reproductive, sexual orientation, and gender identity privacy rights. For example, Washington’s My Health My Data Act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w:t>
      </w:r>
    </w:p>
    <w:p>
      <w:pPr>
        <w:spacing w:after="0" w:line="142" w:lineRule="exact"/>
        <w:rPr>
          <w:sz w:val="20"/>
          <w:szCs w:val="20"/>
          <w:color w:val="auto"/>
        </w:rPr>
      </w:pPr>
    </w:p>
    <w:p>
      <w:pPr>
        <w:jc w:val="both"/>
        <w:ind w:left="640" w:right="699" w:firstLine="402"/>
        <w:spacing w:after="0" w:line="274" w:lineRule="auto"/>
        <w:rPr>
          <w:sz w:val="20"/>
          <w:szCs w:val="20"/>
          <w:color w:val="auto"/>
        </w:rPr>
      </w:pPr>
      <w:r>
        <w:rPr>
          <w:rFonts w:ascii="Times New Roman" w:cs="Times New Roman" w:eastAsia="Times New Roman" w:hAnsi="Times New Roman"/>
          <w:sz w:val="14"/>
          <w:szCs w:val="14"/>
          <w:color w:val="auto"/>
        </w:rPr>
        <w:t>Outside the United States, an increasing number of laws, regulations, and industry standards govern data privacy and security. For example, the EU’s General Data Protection Regulation (“EU GDPR”), the United Kingdom’s GDPR (“UK GDPR”) (collectively, “GDPR”) and Australia’s Privacy Act, impose strict requirements for processing personal data.</w:t>
      </w:r>
    </w:p>
    <w:p>
      <w:pPr>
        <w:spacing w:after="0" w:line="136" w:lineRule="exact"/>
        <w:rPr>
          <w:sz w:val="20"/>
          <w:szCs w:val="20"/>
          <w:color w:val="auto"/>
        </w:rPr>
      </w:pPr>
    </w:p>
    <w:p>
      <w:pPr>
        <w:ind w:left="640" w:right="679" w:firstLine="402"/>
        <w:spacing w:after="0" w:line="268" w:lineRule="auto"/>
        <w:rPr>
          <w:sz w:val="20"/>
          <w:szCs w:val="20"/>
          <w:color w:val="auto"/>
        </w:rPr>
      </w:pPr>
      <w:r>
        <w:rPr>
          <w:rFonts w:ascii="Times New Roman" w:cs="Times New Roman" w:eastAsia="Times New Roman" w:hAnsi="Times New Roman"/>
          <w:sz w:val="14"/>
          <w:szCs w:val="14"/>
          <w:color w:val="auto"/>
        </w:rPr>
        <w:t>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140" w:lineRule="exact"/>
        <w:rPr>
          <w:sz w:val="20"/>
          <w:szCs w:val="20"/>
          <w:color w:val="auto"/>
        </w:rPr>
      </w:pPr>
    </w:p>
    <w:p>
      <w:pPr>
        <w:ind w:left="640" w:right="739" w:firstLine="402"/>
        <w:spacing w:after="0" w:line="265" w:lineRule="auto"/>
        <w:rPr>
          <w:sz w:val="20"/>
          <w:szCs w:val="20"/>
          <w:color w:val="auto"/>
        </w:rPr>
      </w:pPr>
      <w:r>
        <w:rPr>
          <w:rFonts w:ascii="Times New Roman" w:cs="Times New Roman" w:eastAsia="Times New Roman" w:hAnsi="Times New Roman"/>
          <w:sz w:val="14"/>
          <w:szCs w:val="14"/>
          <w:color w:val="auto"/>
        </w:rPr>
        <w:t>Furthermore, we also conduct clinical trials in Asia and have operations in Japan and are subject to new and emerging data privacy regimes in Asia, including China’s Personal Information Protection Law, Japan’s Act on the Protection of Personal Information, and Singapore’s Personal Data Protection Act. China’s PIPL imposes a set of specific obligations on covered businesses in connection with their processing and transfer of personal data and imposes fines of up to RMB 50 million or 5% of the prior year’s total annual revenue of the violator.</w:t>
      </w:r>
    </w:p>
    <w:p>
      <w:pPr>
        <w:spacing w:after="0" w:line="142" w:lineRule="exact"/>
        <w:rPr>
          <w:sz w:val="20"/>
          <w:szCs w:val="20"/>
          <w:color w:val="auto"/>
        </w:rPr>
      </w:pPr>
    </w:p>
    <w:p>
      <w:pPr>
        <w:ind w:left="640" w:right="659" w:firstLine="402"/>
        <w:spacing w:after="0" w:line="257" w:lineRule="auto"/>
        <w:rPr>
          <w:sz w:val="20"/>
          <w:szCs w:val="20"/>
          <w:color w:val="auto"/>
        </w:rPr>
      </w:pPr>
      <w:r>
        <w:rPr>
          <w:rFonts w:ascii="Times New Roman" w:cs="Times New Roman" w:eastAsia="Times New Roman" w:hAnsi="Times New Roman"/>
          <w:sz w:val="14"/>
          <w:szCs w:val="14"/>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 UK’s International Data Transfer Agreement / Addendum, and the EU-U.S. Data Privacy Framework and the UK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data out of Europe for allegedly violating the GDPR’s cross-border data transfer limitations. Regulators in the United States such as the Department of Justice are also increasingly scrutinizing certain personal data transfers and have proposed and may enact data localization requirements, for example, the Biden Administration’s executive order Preventing Access to Americans’ Bulk Sensitive Personal Data and United States Government-Related Data by Countries of Concern.</w:t>
      </w:r>
    </w:p>
    <w:p>
      <w:pPr>
        <w:spacing w:after="0" w:line="332" w:lineRule="exact"/>
        <w:rPr>
          <w:sz w:val="20"/>
          <w:szCs w:val="20"/>
          <w:color w:val="auto"/>
        </w:rPr>
      </w:pPr>
    </w:p>
    <w:p>
      <w:pPr>
        <w:ind w:left="640" w:right="1079" w:firstLine="402"/>
        <w:spacing w:after="0" w:line="274" w:lineRule="auto"/>
        <w:rPr>
          <w:sz w:val="20"/>
          <w:szCs w:val="20"/>
          <w:color w:val="auto"/>
        </w:rPr>
      </w:pPr>
      <w:r>
        <w:rPr>
          <w:rFonts w:ascii="Times New Roman" w:cs="Times New Roman" w:eastAsia="Times New Roman" w:hAnsi="Times New Roman"/>
          <w:sz w:val="14"/>
          <w:szCs w:val="14"/>
          <w:color w:val="auto"/>
        </w:rPr>
        <w:t>Additionally, under various privacy laws and other obligations, we may be required to obtain certain consents to process personal data, including clinical trials. Our inability or failure to obtain consent for these practices could result in adverse consequences, including class action litigation and mass arbitration demands.</w:t>
      </w:r>
    </w:p>
    <w:p>
      <w:pPr>
        <w:spacing w:after="0" w:line="136" w:lineRule="exact"/>
        <w:rPr>
          <w:sz w:val="20"/>
          <w:szCs w:val="20"/>
          <w:color w:val="auto"/>
        </w:rPr>
      </w:pPr>
    </w:p>
    <w:p>
      <w:pPr>
        <w:ind w:left="640" w:right="799" w:firstLine="402"/>
        <w:spacing w:after="0" w:line="265" w:lineRule="auto"/>
        <w:rPr>
          <w:sz w:val="20"/>
          <w:szCs w:val="20"/>
          <w:color w:val="auto"/>
        </w:rPr>
      </w:pPr>
      <w:r>
        <w:rPr>
          <w:rFonts w:ascii="Times New Roman" w:cs="Times New Roman" w:eastAsia="Times New Roman" w:hAnsi="Times New Roman"/>
          <w:sz w:val="14"/>
          <w:szCs w:val="14"/>
          <w:color w:val="auto"/>
        </w:rPr>
        <w:t>We publish privacy policies, marketing materials, and other statements, such as statements related to compliance with certain certifications or self-regulatory principles,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42" w:lineRule="exact"/>
        <w:rPr>
          <w:sz w:val="20"/>
          <w:szCs w:val="20"/>
          <w:color w:val="auto"/>
        </w:rPr>
      </w:pPr>
    </w:p>
    <w:p>
      <w:pPr>
        <w:jc w:val="both"/>
        <w:ind w:left="640" w:right="759" w:firstLine="402"/>
        <w:spacing w:after="0" w:line="274" w:lineRule="auto"/>
        <w:rPr>
          <w:sz w:val="20"/>
          <w:szCs w:val="20"/>
          <w:color w:val="auto"/>
        </w:rPr>
      </w:pPr>
      <w:r>
        <w:rPr>
          <w:rFonts w:ascii="Times New Roman" w:cs="Times New Roman" w:eastAsia="Times New Roman" w:hAnsi="Times New Roman"/>
          <w:sz w:val="14"/>
          <w:szCs w:val="14"/>
          <w:color w:val="auto"/>
        </w:rPr>
        <w:t>In addition, we are contractually subject to industry standards adopted by industry groups and, we are and may become in the future, directly subject to such obligations. We are also bound by contractual obligations related to data privacy and security, and our efforts to comply with such obligations may not be successful.</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77" w:name="page78"/>
    <w:bookmarkEnd w:id="77"/>
    <w:p>
      <w:pPr>
        <w:ind w:left="640" w:right="679" w:firstLine="402"/>
        <w:spacing w:after="0" w:line="258" w:lineRule="auto"/>
        <w:rPr>
          <w:sz w:val="20"/>
          <w:szCs w:val="20"/>
          <w:color w:val="auto"/>
        </w:rPr>
      </w:pPr>
      <w:r>
        <w:rPr>
          <w:rFonts w:ascii="Times New Roman" w:cs="Times New Roman" w:eastAsia="Times New Roman" w:hAnsi="Times New Roman"/>
          <w:sz w:val="14"/>
          <w:szCs w:val="14"/>
          <w:color w:val="auto"/>
        </w:rPr>
        <w:t>Obligations related to data privacy and 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or sensitive data on our behalf. In addition, these obligations may require us to change elements of our business model. 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spacing w:after="0" w:line="153" w:lineRule="exact"/>
        <w:rPr>
          <w:sz w:val="20"/>
          <w:szCs w:val="20"/>
          <w:color w:val="auto"/>
        </w:rPr>
      </w:pPr>
    </w:p>
    <w:p>
      <w:pPr>
        <w:ind w:left="640" w:right="799" w:firstLine="402"/>
        <w:spacing w:after="0" w:line="268" w:lineRule="auto"/>
        <w:rPr>
          <w:sz w:val="20"/>
          <w:szCs w:val="20"/>
          <w:color w:val="auto"/>
        </w:rPr>
      </w:pPr>
      <w:r>
        <w:rPr>
          <w:rFonts w:ascii="Times New Roman" w:cs="Times New Roman" w:eastAsia="Times New Roman" w:hAnsi="Times New Roman"/>
          <w:sz w:val="14"/>
          <w:szCs w:val="14"/>
          <w:color w:val="auto"/>
        </w:rPr>
        <w:t>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22" w:lineRule="exact"/>
        <w:rPr>
          <w:sz w:val="20"/>
          <w:szCs w:val="20"/>
          <w:color w:val="auto"/>
        </w:rPr>
      </w:pPr>
    </w:p>
    <w:p>
      <w:pPr>
        <w:ind w:left="640" w:right="11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will incur costs and demands upon management as a result of complying with the laws and regulations affecting public companies.</w:t>
      </w:r>
    </w:p>
    <w:p>
      <w:pPr>
        <w:spacing w:after="0" w:line="34" w:lineRule="exact"/>
        <w:rPr>
          <w:sz w:val="20"/>
          <w:szCs w:val="20"/>
          <w:color w:val="auto"/>
        </w:rPr>
      </w:pPr>
    </w:p>
    <w:p>
      <w:pPr>
        <w:jc w:val="both"/>
        <w:ind w:left="640" w:right="819" w:firstLine="351"/>
        <w:spacing w:after="0" w:line="265" w:lineRule="auto"/>
        <w:rPr>
          <w:sz w:val="20"/>
          <w:szCs w:val="20"/>
          <w:color w:val="auto"/>
        </w:rPr>
      </w:pPr>
      <w:r>
        <w:rPr>
          <w:rFonts w:ascii="Times New Roman" w:cs="Times New Roman" w:eastAsia="Times New Roman" w:hAnsi="Times New Roman"/>
          <w:sz w:val="14"/>
          <w:szCs w:val="14"/>
          <w:color w:val="auto"/>
        </w:rPr>
        <w:t>We will continue to incur significant legal, accounting and other expenses associated with being a public company, including public company reporting requirements, costs associated with corporate governance requirements, including requirements under the Sarbanes-Oxley Act, as well as new requirements implemented by the SEC and Nasdaq. These rules and regulations are expected to continue to result in meaningful legal and financial compliance costs and to make some activities more time consuming and costly. These rules and regulations also may make it expensive for us to obtain directors’ and officers’ liability insurance.</w:t>
      </w:r>
    </w:p>
    <w:p>
      <w:pPr>
        <w:spacing w:after="0" w:line="224" w:lineRule="exact"/>
        <w:rPr>
          <w:sz w:val="20"/>
          <w:szCs w:val="20"/>
          <w:color w:val="auto"/>
        </w:rPr>
      </w:pPr>
    </w:p>
    <w:p>
      <w:pPr>
        <w:ind w:left="64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environmental, health and safety laws and regulations, we could become subject to fines or penalties or incur costs that could harm our business.</w:t>
      </w:r>
    </w:p>
    <w:p>
      <w:pPr>
        <w:spacing w:after="0" w:line="34"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46" w:lineRule="exact"/>
        <w:rPr>
          <w:sz w:val="20"/>
          <w:szCs w:val="20"/>
          <w:color w:val="auto"/>
        </w:rPr>
      </w:pPr>
    </w:p>
    <w:p>
      <w:pPr>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36" w:lineRule="exact"/>
        <w:rPr>
          <w:sz w:val="20"/>
          <w:szCs w:val="20"/>
          <w:color w:val="auto"/>
        </w:rPr>
      </w:pPr>
    </w:p>
    <w:p>
      <w:pPr>
        <w:ind w:left="640" w:right="779" w:firstLine="351"/>
        <w:spacing w:after="0" w:line="274" w:lineRule="auto"/>
        <w:rPr>
          <w:sz w:val="20"/>
          <w:szCs w:val="20"/>
          <w:color w:val="auto"/>
        </w:rPr>
      </w:pPr>
      <w:r>
        <w:rPr>
          <w:rFonts w:ascii="Times New Roman" w:cs="Times New Roman" w:eastAsia="Times New Roman" w:hAnsi="Times New Roman"/>
          <w:sz w:val="14"/>
          <w:szCs w:val="14"/>
          <w:color w:val="auto"/>
        </w:rPr>
        <w:t>In addition, we may incur substantial costs in order to comply with current or future environmental, health and safety laws and regulations. Environmental laws and regulations may impair our research, development or production efforts. In addition, failure to comply with these laws and regulations may result in substantial fines, penalties or other sanctions.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78" w:name="page79"/>
    <w:bookmarkEnd w:id="78"/>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Dependence on Third Parties</w:t>
      </w:r>
    </w:p>
    <w:p>
      <w:pPr>
        <w:spacing w:after="0" w:line="95" w:lineRule="exact"/>
        <w:rPr>
          <w:sz w:val="20"/>
          <w:szCs w:val="20"/>
          <w:color w:val="auto"/>
        </w:rPr>
      </w:pPr>
    </w:p>
    <w:p>
      <w:pPr>
        <w:ind w:left="640" w:right="8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rely completely on third parties to manufacture and warehouse both our domestic and international supply of neffy and our current and future intranasal epinephrine technology product candidates.</w:t>
      </w:r>
    </w:p>
    <w:p>
      <w:pPr>
        <w:spacing w:after="0" w:line="34"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 xml:space="preserve">We do not currently have, nor do we plan to acquire, the infrastructure or capability to manufacture or warehouse commercial quantities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Our ability to commercially supply </w:t>
      </w:r>
      <w:r>
        <w:rPr>
          <w:rFonts w:ascii="Times New Roman" w:cs="Times New Roman" w:eastAsia="Times New Roman" w:hAnsi="Times New Roman"/>
          <w:sz w:val="14"/>
          <w:szCs w:val="14"/>
          <w:i w:val="1"/>
          <w:iCs w:val="1"/>
          <w:color w:val="auto"/>
        </w:rPr>
        <w:t xml:space="preserve">neffy </w:t>
      </w:r>
      <w:r>
        <w:rPr>
          <w:rFonts w:ascii="Times New Roman" w:cs="Times New Roman" w:eastAsia="Times New Roman" w:hAnsi="Times New Roman"/>
          <w:sz w:val="14"/>
          <w:szCs w:val="14"/>
          <w:color w:val="auto"/>
        </w:rPr>
        <w:t>and our current or future intranasal epinephrine technology product candidates depends, in part, on the ability of third-party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manufacturers to supply, manufacture and warehouse the raw materials, API and other important components related to the manufacture of our intranasal epinephrine technology product candidates, including Intravail and our nasal sprayer apparatus. We also rely on third parties to label and package the finished product. These third-party manufacturers currently have limited experience manufacturing our intranasal epinephrine technology product candidates, the raw materials and API for our intranasal epinephrine technology product candidates to be supplied to patients. While we will continue to work with our third-party suppliers and manufacturers to optimize the manufacturing process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we cannot guarantee that such efforts will be successful. If we fail to develop and maintain supply relationships with these third parties, we may be unable to successfully 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w:t>
      </w:r>
    </w:p>
    <w:p>
      <w:pPr>
        <w:spacing w:after="0" w:line="323"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 xml:space="preserve">In particular, we rely on third parties for the supply of our intranasal epinephrine technology product candidates unit dose nasal spray devices and glass microvials. We have entered into a manufacturing agreement with Renaissance Lakewood, LLC (“Renaissance”), which has been actively involved in supporting the manufacture of our intranasal epinephrine technology product candidates in our clinical development, and we will continue to rely on Renaissance as the primary source for drug product manufacturing and final packaging. We have also entered into a supply agreement with Nuova Ompi S.r.l. (“Ompi”) pursuant to which Ompi has agreed to supply glass microvials to support the Company’s manufacture and commercialization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We will rely on Ompi as the primary source of glass microvials. Unless and until we can secure alternative sources for microvials, drug product manufacturing and final packaging, our dependence on Renaissance and Ompi will subject us to the possible risks of shortages, interruptions, and price fluctuations.</w:t>
      </w:r>
    </w:p>
    <w:p>
      <w:pPr>
        <w:spacing w:after="0" w:line="318"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auto"/>
        </w:rPr>
        <w:t xml:space="preserve">If we experience supply interruptions or delays, or if a supplier discontinues the sale of certain products, we may have to obtain substitute materials or products, which in turn would require us to obtain amended or additional regulatory approvals, subjecting us to additional expenditures of significant time and resources. In addition, changes in our raw material suppliers could result in significant delays in production, higher raw material costs and loss of sales and customers, because regulatory authorities must generally approve raw material sources for pharmaceutical products, which may be time consuming. Any significant supply interruption effect on our business, condition (financial and otherwise). For example, drug application processes require specification of raw material suppliers, if raw materials from a specified supplier were to become unavailable, FDA or comparable foreign regulatory authority approval of a new supplier would be required. The amount of time required for the FDA or a comparable foreign regulatory authority to qualify a new supplier and confirm that our manufacturing processes meet the necessary standards could cause delays in the manufacturing and marketing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and could, depending on the particular product, have a material adverse effect on our results of operations and financial condition.</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79" w:name="page80"/>
    <w:bookmarkEnd w:id="79"/>
    <w:p>
      <w:pPr>
        <w:ind w:left="640" w:right="739" w:firstLine="351"/>
        <w:spacing w:after="0" w:line="274" w:lineRule="auto"/>
        <w:rPr>
          <w:sz w:val="20"/>
          <w:szCs w:val="20"/>
          <w:color w:val="auto"/>
        </w:rPr>
      </w:pPr>
      <w:r>
        <w:rPr>
          <w:rFonts w:ascii="Times New Roman" w:cs="Times New Roman" w:eastAsia="Times New Roman" w:hAnsi="Times New Roman"/>
          <w:sz w:val="14"/>
          <w:szCs w:val="14"/>
          <w:color w:val="auto"/>
        </w:rPr>
        <w:t>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48" w:lineRule="exact"/>
        <w:rPr>
          <w:sz w:val="20"/>
          <w:szCs w:val="20"/>
          <w:color w:val="auto"/>
        </w:rPr>
      </w:pPr>
    </w:p>
    <w:p>
      <w:pPr>
        <w:ind w:left="1340" w:right="659" w:hanging="352"/>
        <w:spacing w:after="0" w:line="269"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failure of the third party to manufacture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according to our schedule, or at all, including if our third-party contractors give greater priority to the supply of other products over our intranasal epinephrine technology product candidates or otherwise do not satisfactorily perform according to the terms of the agreements between us and them;</w:t>
      </w:r>
    </w:p>
    <w:p>
      <w:pPr>
        <w:spacing w:after="0" w:line="51" w:lineRule="exact"/>
        <w:rPr>
          <w:rFonts w:ascii="Times New Roman" w:cs="Times New Roman" w:eastAsia="Times New Roman" w:hAnsi="Times New Roman"/>
          <w:sz w:val="14"/>
          <w:szCs w:val="14"/>
          <w:color w:val="auto"/>
        </w:rPr>
      </w:pPr>
    </w:p>
    <w:p>
      <w:pPr>
        <w:jc w:val="both"/>
        <w:ind w:left="1340" w:right="979" w:hanging="352"/>
        <w:spacing w:after="0" w:line="275"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delay or interruption of the production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due to a third-party contractor or supplier discontinuing the sale of certain products, requiring us to obtain substitute materials or products;</w:t>
      </w:r>
    </w:p>
    <w:p>
      <w:pPr>
        <w:spacing w:after="0" w:line="50" w:lineRule="exact"/>
        <w:rPr>
          <w:rFonts w:ascii="Times New Roman" w:cs="Times New Roman" w:eastAsia="Times New Roman" w:hAnsi="Times New Roman"/>
          <w:sz w:val="14"/>
          <w:szCs w:val="14"/>
          <w:color w:val="auto"/>
        </w:rPr>
      </w:pPr>
    </w:p>
    <w:p>
      <w:pPr>
        <w:ind w:left="1340" w:right="1399" w:hanging="352"/>
        <w:spacing w:after="0" w:line="292"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reduction or termination of production, raw materials, or deliveries by suppliers, or the raising of prices or renegotiation of terms;</w:t>
      </w:r>
    </w:p>
    <w:p>
      <w:pPr>
        <w:spacing w:after="0" w:line="37" w:lineRule="exact"/>
        <w:rPr>
          <w:rFonts w:ascii="Times New Roman" w:cs="Times New Roman" w:eastAsia="Times New Roman" w:hAnsi="Times New Roman"/>
          <w:sz w:val="14"/>
          <w:szCs w:val="14"/>
          <w:color w:val="auto"/>
        </w:rPr>
      </w:pPr>
    </w:p>
    <w:p>
      <w:pPr>
        <w:ind w:left="1340" w:right="979" w:hanging="352"/>
        <w:spacing w:after="0" w:line="292"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termination or nonrenewal of arrangements or agreements by our third-party contractors at a time that is costly or inconvenient for us;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breach by the third-party contractors of our agreements with them;</w:t>
      </w:r>
    </w:p>
    <w:p>
      <w:pPr>
        <w:spacing w:after="0" w:line="96" w:lineRule="exact"/>
        <w:rPr>
          <w:rFonts w:ascii="Times New Roman" w:cs="Times New Roman" w:eastAsia="Times New Roman" w:hAnsi="Times New Roman"/>
          <w:sz w:val="14"/>
          <w:szCs w:val="14"/>
          <w:color w:val="auto"/>
        </w:rPr>
      </w:pPr>
    </w:p>
    <w:p>
      <w:pPr>
        <w:ind w:left="1340" w:right="759" w:hanging="352"/>
        <w:spacing w:after="0" w:line="292"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third-party contractors to comply with applicable regulatory requirements, whether related to our intranasal epinephrine technology product candidates or another product;</w:t>
      </w:r>
    </w:p>
    <w:p>
      <w:pPr>
        <w:spacing w:after="0" w:line="37" w:lineRule="exact"/>
        <w:rPr>
          <w:rFonts w:ascii="Times New Roman" w:cs="Times New Roman" w:eastAsia="Times New Roman" w:hAnsi="Times New Roman"/>
          <w:sz w:val="14"/>
          <w:szCs w:val="14"/>
          <w:color w:val="auto"/>
        </w:rPr>
      </w:pPr>
    </w:p>
    <w:p>
      <w:pPr>
        <w:ind w:left="1340" w:right="679" w:hanging="352"/>
        <w:spacing w:after="0" w:line="292"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third party to manufacture our intranasal epinephrine technology product candidates, or the raw materials associated therewith, according to our specifications;</w:t>
      </w:r>
    </w:p>
    <w:p>
      <w:pPr>
        <w:spacing w:after="0" w:line="37" w:lineRule="exact"/>
        <w:rPr>
          <w:rFonts w:ascii="Times New Roman" w:cs="Times New Roman" w:eastAsia="Times New Roman" w:hAnsi="Times New Roman"/>
          <w:sz w:val="14"/>
          <w:szCs w:val="14"/>
          <w:color w:val="auto"/>
        </w:rPr>
      </w:pPr>
    </w:p>
    <w:p>
      <w:pPr>
        <w:ind w:left="1340" w:right="1059" w:hanging="352"/>
        <w:spacing w:after="0" w:line="292"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mislabeling of clinical supplies, potentially resulting in the wrong dose amounts being supplied or study drug or placebo not being properly identified;</w:t>
      </w:r>
    </w:p>
    <w:p>
      <w:pPr>
        <w:spacing w:after="0" w:line="37" w:lineRule="exact"/>
        <w:rPr>
          <w:rFonts w:ascii="Times New Roman" w:cs="Times New Roman" w:eastAsia="Times New Roman" w:hAnsi="Times New Roman"/>
          <w:sz w:val="14"/>
          <w:szCs w:val="14"/>
          <w:color w:val="auto"/>
        </w:rPr>
      </w:pPr>
    </w:p>
    <w:p>
      <w:pPr>
        <w:ind w:left="1340" w:right="759" w:hanging="352"/>
        <w:spacing w:after="0" w:line="292"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supplies not being delivered to clinical sites on time, leading to clinical trial interruptions, or of drug supplies not being distributed to commercial vendors in a timely manner, resulting in lost sales; and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misappropriation of our proprietary information, including our trade secrets and know-how.</w:t>
      </w:r>
    </w:p>
    <w:p>
      <w:pPr>
        <w:spacing w:after="0" w:line="183"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 xml:space="preserve">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including without limitation due to a change in raw materials supply, and the strict regulatory requirements of the FDA and other foreign regulatory authorities, this could affect the sales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In addition, other than to conduct audits, we have limited control over the ability of our contract manufacturers to maintain adequate quality control, quality assurance and qualified personnel. If the FDA or a comparable foreign regulatory authority does not approve these facilities for the manufacture of our current or future intranasal epinephrine technology product candidates or if it withdraws any such approval in the future, we may need to find alternative manufacturing facilities, and/or raw material suppliers, which would significantly impact our ability to develop, obtain or maintain marketing approvals for and 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Our failure, or the failure of our third-party manufacturers, to comply with applicable regulations could result in sanctions being imposed on us, including fines, injunctions, civil penalties, application review delays, suspension, variation or withdrawal of approvals, license revocation, import alerts, seizures or recalls of product candidates or drugs, operating restrictions and criminal prosecutions, any of which could significantly and adversely affect supplies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and harm our business and results of operations. Our current and anticipated future dependence upon others for the raw materials associated with, and the manufacture of </w:t>
      </w:r>
      <w:r>
        <w:rPr>
          <w:rFonts w:ascii="Times New Roman" w:cs="Times New Roman" w:eastAsia="Times New Roman" w:hAnsi="Times New Roman"/>
          <w:sz w:val="14"/>
          <w:szCs w:val="14"/>
          <w:i w:val="1"/>
          <w:iCs w:val="1"/>
          <w:color w:val="auto"/>
        </w:rPr>
        <w:t xml:space="preserve">neffy </w:t>
      </w:r>
      <w:r>
        <w:rPr>
          <w:rFonts w:ascii="Times New Roman" w:cs="Times New Roman" w:eastAsia="Times New Roman" w:hAnsi="Times New Roman"/>
          <w:sz w:val="14"/>
          <w:szCs w:val="14"/>
          <w:color w:val="auto"/>
        </w:rPr>
        <w:t>and our current or future intranasal epinephrine technology product candidates may adversely affect our profit margins and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ability to successfully 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on a competitive basis.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80" w:name="page81"/>
    <w:bookmarkEnd w:id="80"/>
    <w:p>
      <w:pPr>
        <w:ind w:left="640" w:right="65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are dependent on international third-party licensees and assignees for the development and commercialization of neffy and our current and future intranasal epinephrine technology product candidates outside the United States. If these third parties are not successful in their development and commercialization efforts or if these third parties fail to meet their contractual, regulatory or other obligations, our business and results of operations could be adversely affected.</w:t>
      </w:r>
    </w:p>
    <w:p>
      <w:pPr>
        <w:spacing w:after="0" w:line="53"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 xml:space="preserve">We have entered into exclusive licensing and collaboration agreements with third-party partners for the development and commercialization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worldwide, excluding the United States. As a result, we are dependent on these parties to, at times, achieve regulatory approval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for marketing and, if approval is obtained, 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outside the United States. The timing and amount of any milestone and royalty payments we may receive under these agreements, as well as the commercial success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in those regions outside of the United States, will depend on, among other things, the efforts, allocation of resources and successful commercialization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by our licensing and collaboration partners. We also depend on such licensing and collaboration partners to comply with all applicable laws relative to the development and commercialization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in those countries. They may take actions or fail to take actions that result in safety issues with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in their licensed territory, and such safety issues could negatively impact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in countries outside of the licensed territory. We do not control the individual efforts of our licensing and collaboration partners and have limited ability to terminate these agreements or have assigned assets returned to us if such licensing and collaboration partners do not perform as anticipated.</w:t>
      </w:r>
    </w:p>
    <w:p>
      <w:pPr>
        <w:spacing w:after="0" w:line="325"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 xml:space="preserve">The failure of our licensing and collaboration partners to devote sufficient time and effort to the development and commercialization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to meet their obligations to us, including for future royalty and milestone payments; to adequately deploy business continuity plans in the event of a crisis; to adequately respond to the adverse impact of military action, sanctions and market disruptions; and/or to satisfactorily resolve significant disagreements with us or address other factors could have an adverse impact on our financial results and operations. In addition, if these third parties violate, or are alleged to have violated, any laws or regulations during the performance of their obligations for us, including with respect to safety, patient and data privacy, antitrust, and bribery and corruption, it is possible that we could suffer financial and reputational harm or other negative outcomes, including possible legal consequences and liabilities. We may not be successful in enforcing the terms and conditions of our licensing and collaboration agreements in court or via agreed upon dispute resolution mechanisms, and even if we were to prevail in any such dispute, the remedies may not be adequate to compensate us for the losses. Any termination, breach or expiration of any of these licensing or collaboration agreements could have a material adverse effect on our financial position by reducing or eliminating the potential for us to receive license fees, milestones and royalties. In such an event, we may be required to devote additional efforts and to incur additional costs associated with pursuing regulatory approval and commercialization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Alternatively, we may attempt to identify and transact with a new assignee or licensee, but there can be no assurance that we would be able to identify a suitable partner or transact on terms that are favorable to us. For example, in February 2023, we terminated the Recordati License and Supply Agreement, which eliminated the potential for us to receive milestone and royalty payments from Recordati under the Recordati License and Supply Agreement. Although we found a partner for the regions previously licensed to Recordati, under the Recordati Termination Agreement, we are obligated to pay certain milestone and royalty payments to Recordati.</w:t>
      </w:r>
    </w:p>
    <w:p>
      <w:pPr>
        <w:spacing w:after="0" w:line="230" w:lineRule="exact"/>
        <w:rPr>
          <w:sz w:val="20"/>
          <w:szCs w:val="20"/>
          <w:color w:val="auto"/>
        </w:rPr>
      </w:pPr>
    </w:p>
    <w:p>
      <w:pPr>
        <w:ind w:left="640" w:right="7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neffy and our current or future intranasal epinephrine technology product candidates are developed and produced at a few locations, and a business interruption at one or more of these locations or within our supply chain could have a material adverse effect on our business, financial position, and results of operations.</w:t>
      </w:r>
    </w:p>
    <w:p>
      <w:pPr>
        <w:spacing w:after="0" w:line="46" w:lineRule="exact"/>
        <w:rPr>
          <w:sz w:val="20"/>
          <w:szCs w:val="20"/>
          <w:color w:val="auto"/>
        </w:rPr>
      </w:pPr>
    </w:p>
    <w:p>
      <w:pPr>
        <w:ind w:left="640" w:right="719" w:firstLine="351"/>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neffy </w:t>
      </w:r>
      <w:r>
        <w:rPr>
          <w:rFonts w:ascii="Times New Roman" w:cs="Times New Roman" w:eastAsia="Times New Roman" w:hAnsi="Times New Roman"/>
          <w:sz w:val="14"/>
          <w:szCs w:val="14"/>
          <w:color w:val="auto"/>
        </w:rPr>
        <w:t>and our current or future intranasal epinephrine technology product candidates are developed and produced at our third-party’s manufacturing facilities in Lakewood, New Jersey. Disruptions of these facilities or within our supply chain can occur for many reasons, including events unrelated to us or beyond our control, such as fires and other industrial accidents, floods and other severe weather events, natural disasters, environmental incidents or other catastrophes, utility and transportation infrastructure disruptions, shortages of raw materials, pandemic diseases or viral contagions, and acts of war or terrorism. Natural disasters and adverse weather conditions can be caused or exacerbated by climate change, and the spate of extreme weather events experienced during 2021 presents an alarming trend. During 2021, for example, Tropical Storm Ida brought extreme rainfall and flash flooding to New Jersey that caused damage to local businesses. Such events could compromise our inventory, resulting in significant costs. Furthermore, work stoppages, whether union-organized or not, can also disrupt operations. Business interruption could also be caused by compliance failures. A significant disruption at any of these facilities or otherwise within our supply chain, even on a short-term basis, could impair our ability to produce and ship products to the market on a timely basis or at all, which could have a material adverse effect on our business, financial position, and results of operations.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81" w:name="page82"/>
    <w:bookmarkEnd w:id="81"/>
    <w:p>
      <w:pPr>
        <w:ind w:left="640" w:right="85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rely on third parties to conduct our nonclinical studies and clinical trials. If these third parties do not successfully carry out their contractual duties, comply with applicable regulatory requirements or meet expected deadlines, our development programs and our ability to commercialize neffy and our current or future intranasal epinephrine technology product candidates may be delayed.</w:t>
      </w:r>
    </w:p>
    <w:p>
      <w:pPr>
        <w:spacing w:after="0" w:line="53"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are dependent on third parties to conduct our nonclinical studies and any clinical trials. Specifically, we have used and relied on, and intend to continue to use and rely on, medical institutions, clinical investigators, CROs and consultants to conduct our nonclinical studies and past clinical trials in accordance with our clinical protocols and regulatory requirements. These CROs, investigators and other third parties play a significant role in the conduct and timing of these studies and trials. While we have and will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our CROs and other third parties does not relieve us of our regulatory responsibilities. We and our CROs are required to comply with GCP requirements, which are regulations and guidelines enforced by the FDA and comparable foreign regulatory authorities for any products or potential products in clinical development.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products produced under cGMP regulations. Our failure to comply with these regulations may require us to repeat clinical trials, which would delay the regulatory approval process.</w:t>
      </w:r>
    </w:p>
    <w:p>
      <w:pPr>
        <w:spacing w:after="0" w:line="326"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 xml:space="preserve">There is no guarantee that any of our CROs, investigators or other third parties will devote adequate time and resources to such trials or studies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 In addition, principal investigators for our clinical trials are expected to serve as scientific advisors or consultants to us from time to time and may receive cash or equity compensation in connection with such services. If these relationships and any related compensation result in perceived or actual conflicts of interest, or the FDA or a comparable regulatory authority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NDA we submit or of comparable applicable submitted to foreign regulatory authorities. Any such delay or rejection could prevent us from commercializing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for potential additional indications, including urticaria.</w:t>
      </w:r>
    </w:p>
    <w:p>
      <w:pPr>
        <w:spacing w:after="0" w:line="147"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 If any of our relationships with these third parties terminate, we may not be able to enter into arrangements with alternative third parties on commercially reasonable terms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82" w:name="page83"/>
    <w:bookmarkEnd w:id="82"/>
    <w:p>
      <w:pPr>
        <w:ind w:left="640" w:right="7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reliance on third parties requires us to share our trade secrets, know-how and other proprietary information, which increases the possibility that a competitor will discover them or that our trade secrets will be misappropriated or disclosed.</w:t>
      </w:r>
    </w:p>
    <w:p>
      <w:pPr>
        <w:spacing w:after="0" w:line="32"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 xml:space="preserve">Because we currently rely on third parties to manufacture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intranasal epinephrine technology product candidates and to perform quality testing, we must, at times, share our proprietary information, including trade secrets and know-how, with them. We seek to protect our proprietary information, in part, by entering into confidentiality agreements, and, if applicable, material transfer agreements, collaborative research agreements, consulting agreements or other similar agreements with our current and future licensing and collaboration partners, advisors, employees and consultants prior to beginning research or disclosing proprietary information. These agreements typically limit the rights of the third parties to use or disclose our proprietary information. Despite the contractual provisions employed when working with third parties, the need to share trade secrets, know-how and other proprietary information increases the risk that such proprietary information become known by our competitors, are intentionally or inadvertently incorporated into the technology of others or are disclosed or used in violation of these agreements. We rely, in part, on trade secrets, know-how and other proprietary information to develop and maintain our competitive position and a competitor’s discovery of our proprietary information or other unauthorized use or disclosure would impair our competitive position and may have a material adverse effect on our business, financial condition, results of operations and prospects.</w:t>
      </w:r>
    </w:p>
    <w:p>
      <w:pPr>
        <w:spacing w:after="0" w:line="2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95" w:lineRule="exact"/>
        <w:rPr>
          <w:sz w:val="20"/>
          <w:szCs w:val="20"/>
          <w:color w:val="auto"/>
        </w:rPr>
      </w:pPr>
    </w:p>
    <w:p>
      <w:pPr>
        <w:ind w:left="640" w:right="9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commercial success depends on our ability to obtain and maintain sufficient intellectual property protection for neffy, our current and future intranasal epinephrine technology product candidates and other proprietary technologies.*</w:t>
      </w:r>
    </w:p>
    <w:p>
      <w:pPr>
        <w:spacing w:after="0" w:line="34"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 xml:space="preserve">Our commercial success will depend, in part, on our ability to obtain and maintain patent protection in the United States and other countries with respect to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If we are unable to obtain or maintain patent protection with respect to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and its uses, our business, financial condition, results of operations and prospects could be materially harmed.</w:t>
      </w:r>
    </w:p>
    <w:p>
      <w:pPr>
        <w:spacing w:after="0" w:line="140"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 xml:space="preserve">We generally seek to protect our proprietary position by filing or in-licensing patents or patent applications in the United States and abroad related to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that are important to our business, as appropriate. Our pending and future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obtain the intellectual property rights relating to our product could have a material adverse effect on our financial condition and results of operations.</w:t>
      </w:r>
    </w:p>
    <w:p>
      <w:pPr>
        <w:spacing w:after="0" w:line="151" w:lineRule="exact"/>
        <w:rPr>
          <w:sz w:val="20"/>
          <w:szCs w:val="20"/>
          <w:color w:val="auto"/>
        </w:rPr>
      </w:pPr>
    </w:p>
    <w:p>
      <w:pPr>
        <w:ind w:left="640" w:right="659" w:firstLine="397"/>
        <w:spacing w:after="0" w:line="259" w:lineRule="auto"/>
        <w:rPr>
          <w:sz w:val="20"/>
          <w:szCs w:val="20"/>
          <w:color w:val="auto"/>
        </w:rPr>
      </w:pPr>
      <w:r>
        <w:rPr>
          <w:rFonts w:ascii="Times New Roman" w:cs="Times New Roman" w:eastAsia="Times New Roman" w:hAnsi="Times New Roman"/>
          <w:sz w:val="14"/>
          <w:szCs w:val="14"/>
          <w:color w:val="auto"/>
        </w:rPr>
        <w:t>The patent application process is subject to numerous risks and uncertainties, and there can be no assurance that we or any of our potential future collaborators will be successful in protecting our intellectual property by obtaining and defending patents. 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It is also possible that we will fail to identify patentable aspects of our research and development results before it is too late to obtain patent protection. Recent reforms and changes at government agencies of the United States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spacing w:after="0" w:line="147" w:lineRule="exact"/>
        <w:rPr>
          <w:sz w:val="20"/>
          <w:szCs w:val="20"/>
          <w:color w:val="auto"/>
        </w:rPr>
      </w:pPr>
    </w:p>
    <w:p>
      <w:pPr>
        <w:ind w:left="640" w:right="659" w:firstLine="397"/>
        <w:spacing w:after="0" w:line="268" w:lineRule="auto"/>
        <w:rPr>
          <w:sz w:val="20"/>
          <w:szCs w:val="20"/>
          <w:color w:val="auto"/>
        </w:rPr>
      </w:pPr>
      <w:r>
        <w:rPr>
          <w:rFonts w:ascii="Times New Roman" w:cs="Times New Roman" w:eastAsia="Times New Roman" w:hAnsi="Times New Roman"/>
          <w:sz w:val="14"/>
          <w:szCs w:val="14"/>
          <w:color w:val="auto"/>
        </w:rPr>
        <w:t>Although we enter into non-disclosure and confidentiality agreements with parties who have access to patentable aspects of our research and development output, such as our employees, corporate collaborators, outside scientific collaborators, CROs, contract manufacturers, consultants, independent contractors, advisors and other third parties, any of these parties may breach these agreements and disclose such results before a patent application is filed, thereby jeopardizing our ability to seek adequate patent protection.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83" w:name="page84"/>
    <w:bookmarkEnd w:id="83"/>
    <w:p>
      <w:pPr>
        <w:ind w:left="640" w:right="9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34" w:lineRule="exact"/>
        <w:rPr>
          <w:sz w:val="20"/>
          <w:szCs w:val="20"/>
          <w:color w:val="auto"/>
        </w:rPr>
      </w:pPr>
    </w:p>
    <w:p>
      <w:pPr>
        <w:ind w:left="640" w:right="859" w:firstLine="397"/>
        <w:spacing w:after="0" w:line="268" w:lineRule="auto"/>
        <w:rPr>
          <w:sz w:val="20"/>
          <w:szCs w:val="20"/>
          <w:color w:val="auto"/>
        </w:rPr>
      </w:pPr>
      <w:r>
        <w:rPr>
          <w:rFonts w:ascii="Times New Roman" w:cs="Times New Roman" w:eastAsia="Times New Roman" w:hAnsi="Times New Roman"/>
          <w:sz w:val="14"/>
          <w:szCs w:val="14"/>
          <w:color w:val="auto"/>
        </w:rPr>
        <w:t>The patent position of pharmaceutical companies generally is highly uncertain, involves complex legal and factual questions and has in recent years been the subject of much litigation, resulting in court decisions, including United States Supreme Court decisions, which have increased uncertainties as to the ability to enforce patent rights in the future. In addition, the laws of foreign countries may not protect our rights to the same extent as the laws of the United States, or vice versa.</w:t>
      </w:r>
    </w:p>
    <w:p>
      <w:pPr>
        <w:spacing w:after="0" w:line="140" w:lineRule="exact"/>
        <w:rPr>
          <w:sz w:val="20"/>
          <w:szCs w:val="20"/>
          <w:color w:val="auto"/>
        </w:rPr>
      </w:pPr>
    </w:p>
    <w:p>
      <w:pPr>
        <w:ind w:left="640" w:right="679" w:firstLine="397"/>
        <w:spacing w:after="0" w:line="258" w:lineRule="auto"/>
        <w:rPr>
          <w:sz w:val="20"/>
          <w:szCs w:val="20"/>
          <w:color w:val="auto"/>
        </w:rPr>
      </w:pPr>
      <w:r>
        <w:rPr>
          <w:rFonts w:ascii="Times New Roman" w:cs="Times New Roman" w:eastAsia="Times New Roman" w:hAnsi="Times New Roman"/>
          <w:sz w:val="14"/>
          <w:szCs w:val="14"/>
          <w:color w:val="auto"/>
        </w:rPr>
        <w:t>Further, we may not be aware of all third-party intellectual property rights potentially relating to our research programs and product candidates, or their intended uses, and as a result the potential impact of such third-party intellectual property rights upon the patentability of our own patents and patent applications, as well as the potential impact of such third-party intellectual property upon our freedom to operate, is highly uncertain. Because patent applications are maintained as confidential for a certain period of time, until the relevant application is published, we may be unaware of third-party patents that may be infringed by commercialization of any future product candidates, and we cannot be certain that we were the first to file a patent application related to a product candidate or technology. Moreover, because patent applications can take many years to issue, there may be currently pending patent applications that may later result in issued patents that any future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As a result, the issuance, scope, validity, enforceability, and commercial value of our patent rights are highly uncertain.</w:t>
      </w:r>
    </w:p>
    <w:p>
      <w:pPr>
        <w:spacing w:after="0" w:line="155" w:lineRule="exact"/>
        <w:rPr>
          <w:sz w:val="20"/>
          <w:szCs w:val="20"/>
          <w:color w:val="auto"/>
        </w:rPr>
      </w:pPr>
    </w:p>
    <w:p>
      <w:pPr>
        <w:ind w:left="640" w:right="659" w:firstLine="397"/>
        <w:spacing w:after="0" w:line="260" w:lineRule="auto"/>
        <w:rPr>
          <w:sz w:val="20"/>
          <w:szCs w:val="20"/>
          <w:color w:val="auto"/>
        </w:rPr>
      </w:pPr>
      <w:r>
        <w:rPr>
          <w:rFonts w:ascii="Times New Roman" w:cs="Times New Roman" w:eastAsia="Times New Roman" w:hAnsi="Times New Roman"/>
          <w:sz w:val="14"/>
          <w:szCs w:val="14"/>
          <w:color w:val="auto"/>
        </w:rPr>
        <w:t>Our patents or pending patent applications, or the patents or pending patent applications that we license, may be challenged in the courts or patent offices in the United States and other foreign jurisdictions. For example, we are currently a party to an opposition proceeding at the European Patent Office with respect to EP 3678649, and we may be subject to third-party pre-issuance submission of prior art to the U.S. Patent and Trademark Office (“USPTO”) or become involved in post-grant review procedures, derivations, reexaminations, or inter partes review proceedings, in the United States or oppositions or similar proceedings in foreign jurisdictions, challenging our patent rights. The legal threshold for initiating such proceedings may be low, so that even proceedings with a low probability of success might be initiated.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w:t>
      </w:r>
    </w:p>
    <w:p>
      <w:pPr>
        <w:spacing w:after="0" w:line="146" w:lineRule="exact"/>
        <w:rPr>
          <w:sz w:val="20"/>
          <w:szCs w:val="20"/>
          <w:color w:val="auto"/>
        </w:rPr>
      </w:pPr>
    </w:p>
    <w:p>
      <w:pPr>
        <w:jc w:val="both"/>
        <w:ind w:left="640" w:right="1039" w:firstLine="397"/>
        <w:spacing w:after="0" w:line="274" w:lineRule="auto"/>
        <w:rPr>
          <w:sz w:val="20"/>
          <w:szCs w:val="20"/>
          <w:color w:val="auto"/>
        </w:rPr>
      </w:pPr>
      <w:r>
        <w:rPr>
          <w:rFonts w:ascii="Times New Roman" w:cs="Times New Roman" w:eastAsia="Times New Roman" w:hAnsi="Times New Roman"/>
          <w:sz w:val="14"/>
          <w:szCs w:val="14"/>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protect our intellectual property rights throughout the world, which could negatively impact our business.*</w:t>
      </w:r>
    </w:p>
    <w:p>
      <w:pPr>
        <w:spacing w:after="0" w:line="101"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 xml:space="preserve">Patents are of national or regional effect. Although as of March 31, 2025 we co-own or exclusively license seven issued U.S. patents, granted patents in each of Australia, Canada, China, Hong Kong, Israel, Japan, Mexico, Singapore, South Korea, and member states of the European Patent Organization, including the United Kingdom, directed to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its uses, among other things, three pending U.S. non-provisional patent applications, one pending international patent application and over fifteen pending foreign patent applications directed to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its uses, among other things,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competitor products may compete with our product, and our patents or other intellectual property rights may not be effective or sufficient to prevent them from competing.</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84" w:name="page85"/>
    <w:bookmarkEnd w:id="84"/>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Accordingly, our efforts to protect our intellectual property rights in such countries may be inadequate, which may have an adverse effect on our ability to successfully 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in all of our expected significant foreign markets.</w:t>
      </w:r>
    </w:p>
    <w:p>
      <w:pPr>
        <w:spacing w:after="0" w:line="155" w:lineRule="exact"/>
        <w:rPr>
          <w:sz w:val="20"/>
          <w:szCs w:val="20"/>
          <w:color w:val="auto"/>
        </w:rPr>
      </w:pPr>
    </w:p>
    <w:p>
      <w:pPr>
        <w:ind w:left="640" w:right="739" w:firstLine="351"/>
        <w:spacing w:after="0" w:line="259" w:lineRule="auto"/>
        <w:rPr>
          <w:sz w:val="20"/>
          <w:szCs w:val="20"/>
          <w:color w:val="auto"/>
        </w:rPr>
      </w:pPr>
      <w:r>
        <w:rPr>
          <w:rFonts w:ascii="Times New Roman" w:cs="Times New Roman" w:eastAsia="Times New Roman" w:hAnsi="Times New Roman"/>
          <w:sz w:val="14"/>
          <w:szCs w:val="14"/>
          <w:color w:val="auto"/>
        </w:rPr>
        <w:t xml:space="preserve">Various countries outside the United States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Accordingly, our efforts to protect or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Accordingly, our efforts to protect our intellectual property rights in such countries may be inadequate, which may have an adverse effect on our ability to successfully 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in all of our expected significant foreign markets.</w:t>
      </w:r>
    </w:p>
    <w:p>
      <w:pPr>
        <w:spacing w:after="0" w:line="323"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Further, the standards applied by the USPTO and foreign patent offices in granting patents are not always applied uniformly or predictably. As such, we do not know the degree of future protection that we will have on our technologies, products and product candidates. While we will endeavor to try to protect our technologies, products and product candidates with intellectual property rights such as patents, as appropriate, the process of obtaining patents is time-consuming, expensive and unpredictable.</w:t>
      </w:r>
    </w:p>
    <w:p>
      <w:pPr>
        <w:spacing w:after="0" w:line="97" w:lineRule="exact"/>
        <w:rPr>
          <w:sz w:val="20"/>
          <w:szCs w:val="20"/>
          <w:color w:val="auto"/>
        </w:rPr>
      </w:pPr>
    </w:p>
    <w:p>
      <w:pPr>
        <w:ind w:left="640" w:right="719" w:firstLine="397"/>
        <w:spacing w:after="0" w:line="261" w:lineRule="auto"/>
        <w:rPr>
          <w:sz w:val="20"/>
          <w:szCs w:val="20"/>
          <w:color w:val="auto"/>
        </w:rPr>
      </w:pPr>
      <w:r>
        <w:rPr>
          <w:rFonts w:ascii="Times New Roman" w:cs="Times New Roman" w:eastAsia="Times New Roman" w:hAnsi="Times New Roman"/>
          <w:sz w:val="14"/>
          <w:szCs w:val="14"/>
          <w:color w:val="auto"/>
        </w:rPr>
        <w:t>Further, geo-political actions in the United States and in foreign countries (such as, the Russia and Ukraine conflict; retaliatory measures by foreign countries in response to actions by the U.S., in particular, tariffs) could increase the uncertainties and costs surrounding the prosecution or maintenance of our patent applications or those of any current or future licensors and the maintenance, enforcement or defense of our issued patents or those of any current or future licensors. Many foreign countries could impose retaliatory measures that may adversely impact our intellectual property rights in those countries. For example, on March 14, 2025, Brazil enacted Law No. 15.122/2025 (known as the “Economic Reciprocity Law”), which provides a framework that allows for the suspension of obligations related to foreign entity’s intellectual property rights. Accordingly, our competitive position may be impaired, and our business, financial condition, results of operations and prospects may be adversely affected.</w:t>
      </w:r>
    </w:p>
    <w:p>
      <w:pPr>
        <w:spacing w:after="0" w:line="228" w:lineRule="exact"/>
        <w:rPr>
          <w:sz w:val="20"/>
          <w:szCs w:val="20"/>
          <w:color w:val="auto"/>
        </w:rPr>
      </w:pPr>
    </w:p>
    <w:p>
      <w:pPr>
        <w:ind w:left="64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Patent reform legislation could increase the uncertainties and costs surrounding the prosecution of our patent applications and the enforcement or defense of our issued patents.</w:t>
      </w:r>
    </w:p>
    <w:p>
      <w:pPr>
        <w:spacing w:after="0" w:line="34"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 xml:space="preserve">On September 16, 2011, the Leahy-Smith America Invents Act (the “Leahy-Smith Act”) was signed into law in the United States.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we could therefore be awarded a patent covering any of our inventions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or the technologies we license for our product, and the prior art allow the technology we use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to be patentable over the prior art. Since patent applications in the United States and most other countries are confidential for a period of time after filing or until issuance, we cannot be certain that we were the first to either file any patent application related to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or invent any of the inventions claimed in our patents or patent applications.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85" w:name="page86"/>
    <w:bookmarkEnd w:id="85"/>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 Leahy-Smith Act also included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 Grant Review, Inter Partes Review,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00" w:lineRule="exact"/>
        <w:rPr>
          <w:sz w:val="20"/>
          <w:szCs w:val="20"/>
          <w:color w:val="auto"/>
        </w:rPr>
      </w:pPr>
    </w:p>
    <w:p>
      <w:pPr>
        <w:spacing w:after="0" w:line="203" w:lineRule="exact"/>
        <w:rPr>
          <w:sz w:val="20"/>
          <w:szCs w:val="20"/>
          <w:color w:val="auto"/>
        </w:rPr>
      </w:pPr>
    </w:p>
    <w:p>
      <w:pPr>
        <w:ind w:left="640" w:right="12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Changes in patent law in the United States and other jurisdictions could diminish the value of patents in general, thereby impairing our ability to protect neffy and our current or future intranasal epinephrine technology product candidates.</w:t>
      </w:r>
    </w:p>
    <w:p>
      <w:pPr>
        <w:spacing w:after="0" w:line="34" w:lineRule="exact"/>
        <w:rPr>
          <w:sz w:val="20"/>
          <w:szCs w:val="20"/>
          <w:color w:val="auto"/>
        </w:rPr>
      </w:pPr>
    </w:p>
    <w:p>
      <w:pPr>
        <w:ind w:left="640" w:right="779" w:firstLine="351"/>
        <w:spacing w:after="0" w:line="261" w:lineRule="auto"/>
        <w:rPr>
          <w:sz w:val="20"/>
          <w:szCs w:val="20"/>
          <w:color w:val="auto"/>
        </w:rPr>
      </w:pPr>
      <w:r>
        <w:rPr>
          <w:rFonts w:ascii="Times New Roman" w:cs="Times New Roman" w:eastAsia="Times New Roman" w:hAnsi="Times New Roman"/>
          <w:sz w:val="14"/>
          <w:szCs w:val="14"/>
          <w:color w:val="auto"/>
        </w:rPr>
        <w:t xml:space="preserve">As is the case with other pharmaceutical companies, our success is heavily dependent on intellectual property, particularly patents relating to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Obtaining and enforcing patents in the pharmaceutical industry involves both technological and legal complexity and is therefore costly, time consuming and inherently uncertain. Changes in either the patent laws or interpretation of the patent laws, rules and regulations in the United States and other countries could increase the uncertainties and costs surrounding the prosecution of patent applications and the enforcement or defense of issued patents. We cannot predict the breadth of claims that may be allowed or enforced in the patents we own, co-own or license from third parties. In addition, U.S. Congress or other foreign legislative bodies may pass patent reform legislation that is unfavorable to us.</w:t>
      </w:r>
    </w:p>
    <w:p>
      <w:pPr>
        <w:spacing w:after="0" w:line="146"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Depending on decisions by the U.S. Congress, the U.S. federal courts, the USPTO, the laws and regulations governing patents could change in unpredictable ways that could weaken our ability to obtain new patents or to enforce the existing patents we own, co-own or license and patents we or our licensors might obtain in the future.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w:t>
      </w:r>
    </w:p>
    <w:p>
      <w:pPr>
        <w:spacing w:after="0" w:line="144" w:lineRule="exact"/>
        <w:rPr>
          <w:sz w:val="20"/>
          <w:szCs w:val="20"/>
          <w:color w:val="auto"/>
        </w:rPr>
      </w:pPr>
    </w:p>
    <w:p>
      <w:pPr>
        <w:ind w:left="640" w:right="739" w:firstLine="351"/>
        <w:spacing w:after="0" w:line="274" w:lineRule="auto"/>
        <w:rPr>
          <w:sz w:val="20"/>
          <w:szCs w:val="20"/>
          <w:color w:val="auto"/>
        </w:rPr>
      </w:pPr>
      <w:r>
        <w:rPr>
          <w:rFonts w:ascii="Times New Roman" w:cs="Times New Roman" w:eastAsia="Times New Roman" w:hAnsi="Times New Roman"/>
          <w:sz w:val="14"/>
          <w:szCs w:val="14"/>
          <w:color w:val="auto"/>
        </w:rPr>
        <w:t>Depending on future actions by the U.S. Congress, the U.S. courts, the USPTO, or similar authorities in foreign jurisdictions, the laws and regulations governing patents could change in unpredictable ways that could weaken our ability to obtain new patents or to enforce the existing patents we own, co-own or license and patents that we or our licensors might obtain in the future.</w:t>
      </w:r>
    </w:p>
    <w:p>
      <w:pPr>
        <w:spacing w:after="0" w:line="136" w:lineRule="exact"/>
        <w:rPr>
          <w:sz w:val="20"/>
          <w:szCs w:val="20"/>
          <w:color w:val="auto"/>
        </w:rPr>
      </w:pPr>
    </w:p>
    <w:p>
      <w:pPr>
        <w:ind w:left="640" w:right="659" w:firstLine="351"/>
        <w:spacing w:after="0" w:line="267" w:lineRule="auto"/>
        <w:rPr>
          <w:sz w:val="20"/>
          <w:szCs w:val="20"/>
          <w:color w:val="auto"/>
        </w:rPr>
      </w:pPr>
      <w:r>
        <w:rPr>
          <w:rFonts w:ascii="Times New Roman" w:cs="Times New Roman" w:eastAsia="Times New Roman" w:hAnsi="Times New Roman"/>
          <w:sz w:val="14"/>
          <w:szCs w:val="14"/>
          <w:color w:val="auto"/>
        </w:rPr>
        <w:t>As an example, beginning June 1, 2023, European patent applications and patents may be subjected to the jurisdiction of the Unified Patent Court (the “UPC”). Also, European patent applications will have the option, upon grant of a patent, of becoming a Unitary Patent, which will be subject to the jurisdiction of the UPC. The UPC and Unitary Patent are significant changes in European patent practice. As the UPC is a new court system, there is no precedent for the court, increasing the uncertainty of any litigation in the UPC.</w:t>
      </w:r>
    </w:p>
    <w:p>
      <w:pPr>
        <w:spacing w:after="0" w:line="315"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In 2012, the European Union Patent Package (the “EU Patent Package”) regulations were passed with the goal of providing a single pan-European Unitary Patent and a new European UPC for litigation involving European patents. The EU Patent Package was implemented on June 1, 2023. As a result, all European patents, including those issued prior to ratification of the EU Patent Package, now by default automatically fall under the jurisdiction of the UPC. It is uncertain how the UPC will impact granted European patents in the biotechnology and pharmaceutical industries.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pan-European injunction. Such a loss of patent protection could have a material adverse impact on our business and our ability to commercialize our technology and product candidates due to increased competition and, resultantly, on our business, financial condition, prospects and results of operations.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86" w:name="page87"/>
    <w:bookmarkEnd w:id="86"/>
    <w:p>
      <w:pPr>
        <w:ind w:left="640" w:right="6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48"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Periodic maintenance fees, renewal fees, annuity fees and various other governmental fees on patents and/or patent applications will be due to be paid to the USPTO and various foreign patent agencies at various stages over the lifetime of our patents and/or patent applications. We have systems in place to remind us to pay these fees, and we rely on our outside patent annuity service to pay these fees when due. In addition, the USPTO and various foreign governmental patent agencies require compliance with a number of procedural, documentary, fee payment and other similar provisions during the patent application process. We employ reputable law firms and other professionals to help us comply with these provisions.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If such an event were to occur, it could have a material adverse effect on our business. If we or our licensors fail to maintain the patents and patent applications covering our product, our competitors might be able to enter the market, which would have a material adverse effect on our business, financial conditions, results of operations and growth prospects.</w:t>
      </w:r>
    </w:p>
    <w:p>
      <w:pPr>
        <w:spacing w:after="0" w:line="233" w:lineRule="exact"/>
        <w:rPr>
          <w:sz w:val="20"/>
          <w:szCs w:val="20"/>
          <w:color w:val="auto"/>
        </w:rPr>
      </w:pPr>
    </w:p>
    <w:p>
      <w:pPr>
        <w:jc w:val="both"/>
        <w:ind w:left="640" w:right="9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Patent terms may be inadequate to protect our competitive position for neffy and our current or future intranasal epinephrine technology product candidates for an adequate amount of time and may adversely affect our anticipated future revenues and operating earnings.</w:t>
      </w:r>
    </w:p>
    <w:p>
      <w:pPr>
        <w:spacing w:after="0" w:line="48" w:lineRule="exact"/>
        <w:rPr>
          <w:sz w:val="20"/>
          <w:szCs w:val="20"/>
          <w:color w:val="auto"/>
        </w:rPr>
      </w:pPr>
    </w:p>
    <w:p>
      <w:pPr>
        <w:ind w:left="640" w:right="739" w:firstLine="351"/>
        <w:spacing w:after="0" w:line="265" w:lineRule="auto"/>
        <w:rPr>
          <w:sz w:val="20"/>
          <w:szCs w:val="20"/>
          <w:color w:val="auto"/>
        </w:rPr>
      </w:pPr>
      <w:r>
        <w:rPr>
          <w:rFonts w:ascii="Times New Roman" w:cs="Times New Roman" w:eastAsia="Times New Roman" w:hAnsi="Times New Roman"/>
          <w:sz w:val="14"/>
          <w:szCs w:val="14"/>
          <w:color w:val="auto"/>
        </w:rPr>
        <w:t xml:space="preserve">We rely on patent, trademark, trade secret and other intellectual property protection in the discovery, development, manufacturing and sale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In particular, patent protection is important in the development and commercialization of our approved product candidates. Patents covering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normally provide market exclusivity, which is important in order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to generate profits.</w:t>
      </w:r>
    </w:p>
    <w:p>
      <w:pPr>
        <w:spacing w:after="0" w:line="142" w:lineRule="exact"/>
        <w:rPr>
          <w:sz w:val="20"/>
          <w:szCs w:val="20"/>
          <w:color w:val="auto"/>
        </w:rPr>
      </w:pPr>
    </w:p>
    <w:p>
      <w:pPr>
        <w:ind w:left="640" w:right="759" w:firstLine="351"/>
        <w:spacing w:after="0" w:line="262" w:lineRule="auto"/>
        <w:rPr>
          <w:sz w:val="20"/>
          <w:szCs w:val="20"/>
          <w:color w:val="auto"/>
        </w:rPr>
      </w:pPr>
      <w:r>
        <w:rPr>
          <w:rFonts w:ascii="Times New Roman" w:cs="Times New Roman" w:eastAsia="Times New Roman" w:hAnsi="Times New Roman"/>
          <w:sz w:val="14"/>
          <w:szCs w:val="14"/>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Given the amount of time required for the development, testing and regulatory review, patents protecting any future indications or any product candidates might expire before or shortly after commercialization. Even if patents covering any future indications or any future product candidates are obtained, once the patent life has expired, we may be open to competition from generic products. As a result, our patent portfolio may not provide us with sufficient rights to exclude others from commercializing products similar or identical to ours.</w:t>
      </w:r>
    </w:p>
    <w:p>
      <w:pPr>
        <w:spacing w:after="0" w:line="142"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 xml:space="preserve">The patents we currently co-own or exclusively license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intranasal epinephrine technology product candidates are expected to expire as early as 2038, absent any patent term adjustments. The API in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intranasal epinephrine technology product candidates is epinephrine, a generic API that is used in FDA-approved intra-muscular injectables. Since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was approved by the FDA under the 505(b)(2) regulatory pathway, our U.S. patents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are not eligible for patent term restoration under the Drug Price Competition and Patent Term Restoration Act of 1984. While we are planning to seek additional patent coverage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there can be no assurances that such additional patent protection will be granted, or if granted, that these patents will not be infringed upon or otherwise held enforceable. Even if we are successful in obtaining a patent, patents have a limited lifespan. Without patent protection, we may be open to competition from generic versions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87" w:name="page88"/>
    <w:bookmarkEnd w:id="87"/>
    <w:p>
      <w:pPr>
        <w:ind w:left="640" w:right="8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cannot ensure that patent rights relating to inventions described and claimed in our pending patent applications will issue or that patents based on our patent applications will not be challenged and rendered invalid and/or unenforceable.</w:t>
      </w:r>
    </w:p>
    <w:p>
      <w:pPr>
        <w:spacing w:after="0" w:line="32" w:lineRule="exact"/>
        <w:rPr>
          <w:sz w:val="20"/>
          <w:szCs w:val="20"/>
          <w:color w:val="auto"/>
        </w:rPr>
      </w:pPr>
    </w:p>
    <w:p>
      <w:pPr>
        <w:ind w:left="640" w:right="699" w:firstLine="351"/>
        <w:spacing w:after="0" w:line="275" w:lineRule="auto"/>
        <w:rPr>
          <w:sz w:val="20"/>
          <w:szCs w:val="20"/>
          <w:color w:val="auto"/>
        </w:rPr>
      </w:pPr>
      <w:r>
        <w:rPr>
          <w:rFonts w:ascii="Times New Roman" w:cs="Times New Roman" w:eastAsia="Times New Roman" w:hAnsi="Times New Roman"/>
          <w:sz w:val="14"/>
          <w:szCs w:val="14"/>
          <w:color w:val="auto"/>
        </w:rPr>
        <w:t xml:space="preserve">We co-own or exclusively license patent applications in our portfolio relating to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that are pending at the patent offices in the United States, Europe, Japan, and other foreign jurisdictions, however, we cannot predict:</w:t>
      </w:r>
    </w:p>
    <w:p>
      <w:pPr>
        <w:spacing w:after="0" w:line="50" w:lineRule="exact"/>
        <w:rPr>
          <w:sz w:val="20"/>
          <w:szCs w:val="20"/>
          <w:color w:val="auto"/>
        </w:rPr>
      </w:pPr>
    </w:p>
    <w:p>
      <w:pPr>
        <w:ind w:left="1340" w:hanging="352"/>
        <w:spacing w:after="0"/>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when patents may issue based on the patent applications we own, co-own or exclusively license;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of any patent issuing based on the patent applications we own, co-own or exclusively license;</w:t>
      </w:r>
    </w:p>
    <w:p>
      <w:pPr>
        <w:spacing w:after="0" w:line="96" w:lineRule="exact"/>
        <w:rPr>
          <w:rFonts w:ascii="Times New Roman" w:cs="Times New Roman" w:eastAsia="Times New Roman" w:hAnsi="Times New Roman"/>
          <w:sz w:val="14"/>
          <w:szCs w:val="14"/>
          <w:color w:val="auto"/>
        </w:rPr>
      </w:pPr>
    </w:p>
    <w:p>
      <w:pPr>
        <w:ind w:left="1340" w:right="999" w:hanging="352"/>
        <w:spacing w:after="0" w:line="292" w:lineRule="auto"/>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claims of any patent issuing based on the patent applications we own, co-own or exclusively license will provide protection against competitors,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third parties will find ways to invalidate or circumvent our patent rights;</w:t>
      </w:r>
    </w:p>
    <w:p>
      <w:pPr>
        <w:spacing w:after="0" w:line="96" w:lineRule="exact"/>
        <w:rPr>
          <w:rFonts w:ascii="Times New Roman" w:cs="Times New Roman" w:eastAsia="Times New Roman" w:hAnsi="Times New Roman"/>
          <w:sz w:val="14"/>
          <w:szCs w:val="14"/>
          <w:color w:val="auto"/>
        </w:rPr>
      </w:pPr>
    </w:p>
    <w:p>
      <w:pPr>
        <w:ind w:left="1340" w:right="739" w:hanging="352"/>
        <w:spacing w:after="0" w:line="292" w:lineRule="auto"/>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others will obtain patents claiming aspects similar to those covered by the patent applications we own, co-own or exclusively license;</w:t>
      </w:r>
    </w:p>
    <w:p>
      <w:pPr>
        <w:spacing w:after="0" w:line="37"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will need to initiate litigation or administrative proceedings to enforce and/or defend our patent rights which will be costly whether we win or lose;</w:t>
      </w:r>
    </w:p>
    <w:p>
      <w:pPr>
        <w:spacing w:after="0" w:line="37" w:lineRule="exact"/>
        <w:rPr>
          <w:rFonts w:ascii="Times New Roman" w:cs="Times New Roman" w:eastAsia="Times New Roman" w:hAnsi="Times New Roman"/>
          <w:sz w:val="14"/>
          <w:szCs w:val="14"/>
          <w:color w:val="auto"/>
        </w:rPr>
      </w:pPr>
    </w:p>
    <w:p>
      <w:pPr>
        <w:ind w:left="1340" w:right="839" w:hanging="352"/>
        <w:spacing w:after="0" w:line="292" w:lineRule="auto"/>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whether the patent applications that we own, co-own or exclusively license will result in issued patents with claims that cover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intranasal epinephrine technology product candidates or uses thereof; and/or</w:t>
      </w:r>
    </w:p>
    <w:p>
      <w:pPr>
        <w:spacing w:after="0" w:line="37" w:lineRule="exact"/>
        <w:rPr>
          <w:rFonts w:ascii="Times New Roman" w:cs="Times New Roman" w:eastAsia="Times New Roman" w:hAnsi="Times New Roman"/>
          <w:sz w:val="14"/>
          <w:szCs w:val="14"/>
          <w:color w:val="auto"/>
        </w:rPr>
      </w:pPr>
    </w:p>
    <w:p>
      <w:pPr>
        <w:ind w:left="1340" w:right="999" w:hanging="352"/>
        <w:spacing w:after="0" w:line="292" w:lineRule="auto"/>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may experience patent office interruption or delays to our ability to timely secure patent coverage to any potential additional indications or any future product candidates.</w:t>
      </w:r>
    </w:p>
    <w:p>
      <w:pPr>
        <w:spacing w:after="0" w:line="122" w:lineRule="exact"/>
        <w:rPr>
          <w:sz w:val="20"/>
          <w:szCs w:val="20"/>
          <w:color w:val="auto"/>
        </w:rPr>
      </w:pPr>
    </w:p>
    <w:p>
      <w:pPr>
        <w:ind w:left="640" w:right="699" w:firstLine="351"/>
        <w:spacing w:after="0" w:line="258" w:lineRule="auto"/>
        <w:rPr>
          <w:sz w:val="20"/>
          <w:szCs w:val="20"/>
          <w:color w:val="auto"/>
        </w:rPr>
      </w:pPr>
      <w:r>
        <w:rPr>
          <w:rFonts w:ascii="Times New Roman" w:cs="Times New Roman" w:eastAsia="Times New Roman" w:hAnsi="Times New Roman"/>
          <w:sz w:val="14"/>
          <w:szCs w:val="14"/>
          <w:color w:val="auto"/>
        </w:rPr>
        <w:t xml:space="preserve">We cannot be certain that the claims in our pending patent applications directed to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will be considered patentable by the USPTO or by patent offices in foreign countries.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relevant to our business. There is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Even if the patents do issue based on the patent applications we own, co-own or exclusively license,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any potential additional indications or any future product candidates is threatened, it could dissuade companies from collaborating with us to develop, and threaten our ability to commercialize, any additional potential indications or any future product candidates. In the event of litigation or administrative proceedings, we cannot be certain that the claims in any of our issued patents will be considered valid by courts in the United States or foreign countries.</w:t>
      </w:r>
    </w:p>
    <w:p>
      <w:pPr>
        <w:spacing w:after="0" w:line="236" w:lineRule="exact"/>
        <w:rPr>
          <w:sz w:val="20"/>
          <w:szCs w:val="20"/>
          <w:color w:val="auto"/>
        </w:rPr>
      </w:pPr>
    </w:p>
    <w:p>
      <w:pPr>
        <w:ind w:left="640" w:right="9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may not identify relevant third-party patents or may incorrectly interpret the relevance, scope or expiration of a third-party patent which might adversely affect our ability to develop and market neffy and our current or future intranasal epinephrine technology product candidates.</w:t>
      </w:r>
    </w:p>
    <w:p>
      <w:pPr>
        <w:spacing w:after="0" w:line="46"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 xml:space="preserve">As the pharmaceutical industry expands and more patents are issued, the risk increases that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may be subject to claims of infringement of the patent rights of third parties. There can be no assurance that our operations do not, or will not in the future, infringe existing or future third-party patents.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our operations or necessary for the commercialization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in any jurisdiction.</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88" w:name="page89"/>
    <w:bookmarkEnd w:id="88"/>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 xml:space="preserve">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products. We do not always conduct independent reviews of pending patent applications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our products or the use of our products. As such, there may be applications of others now pending or recently revived patents of which we are unaware. These patent applications may later result in issued patents, or the revival of previously abandoned patents that will prevent, limit or otherwise interfere with our ability to make, use or sell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w:t>
      </w:r>
    </w:p>
    <w:p>
      <w:pPr>
        <w:spacing w:after="0" w:line="319" w:lineRule="exact"/>
        <w:rPr>
          <w:sz w:val="20"/>
          <w:szCs w:val="20"/>
          <w:color w:val="auto"/>
        </w:rPr>
      </w:pPr>
    </w:p>
    <w:p>
      <w:pPr>
        <w:ind w:left="640" w:right="739" w:firstLine="351"/>
        <w:spacing w:after="0" w:line="260" w:lineRule="auto"/>
        <w:rPr>
          <w:sz w:val="20"/>
          <w:szCs w:val="20"/>
          <w:color w:val="auto"/>
        </w:rPr>
      </w:pPr>
      <w:r>
        <w:rPr>
          <w:rFonts w:ascii="Times New Roman" w:cs="Times New Roman" w:eastAsia="Times New Roman" w:hAnsi="Times New Roman"/>
          <w:sz w:val="14"/>
          <w:szCs w:val="14"/>
          <w:color w:val="auto"/>
        </w:rPr>
        <w:t xml:space="preserve">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Our failure to identify and correctly interpret relevant patents may negatively impact our ability to develop and market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w:t>
      </w:r>
    </w:p>
    <w:p>
      <w:pPr>
        <w:spacing w:after="0" w:line="149"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We cannot provide any assurances that third-party patents do not exist which might be enforced against our current technology, including our research programs, product candidates, their respective methods of use, and manufacture thereof, and could result in either an injunction prohibiting our manufacture or future sales, or, with respect to our future sales, an obligation on our part to pay royalties and/or other forms of compensation to third parties, which could be significant.</w:t>
      </w:r>
    </w:p>
    <w:p>
      <w:pPr>
        <w:spacing w:after="0" w:line="222" w:lineRule="exact"/>
        <w:rPr>
          <w:sz w:val="20"/>
          <w:szCs w:val="20"/>
          <w:color w:val="auto"/>
        </w:rPr>
      </w:pPr>
    </w:p>
    <w:p>
      <w:pPr>
        <w:ind w:left="640" w:right="7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are sued for infringing on the intellectual property rights of third parties, such litigation could be costly and time consuming and could prevent or delay us from developing or commercializing neffy or our current or future intranasal epinephrine technology product candidates.*</w:t>
      </w:r>
    </w:p>
    <w:p>
      <w:pPr>
        <w:spacing w:after="0" w:line="46" w:lineRule="exact"/>
        <w:rPr>
          <w:sz w:val="20"/>
          <w:szCs w:val="20"/>
          <w:color w:val="auto"/>
        </w:rPr>
      </w:pPr>
    </w:p>
    <w:p>
      <w:pPr>
        <w:ind w:left="640" w:right="659" w:firstLine="397"/>
        <w:spacing w:after="0" w:line="258" w:lineRule="auto"/>
        <w:rPr>
          <w:sz w:val="20"/>
          <w:szCs w:val="20"/>
          <w:color w:val="auto"/>
        </w:rPr>
      </w:pPr>
      <w:r>
        <w:rPr>
          <w:rFonts w:ascii="Times New Roman" w:cs="Times New Roman" w:eastAsia="Times New Roman" w:hAnsi="Times New Roman"/>
          <w:sz w:val="14"/>
          <w:szCs w:val="14"/>
          <w:color w:val="auto"/>
        </w:rPr>
        <w:t xml:space="preserve">Our commercial success depends, in part, on our ability to develop, manufacture, market and sell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without infringing the intellectual property and other proprietary rights of third parties. Third parties may allege that we have infringed or misappropriated their intellectual property. For example, on March 25, 2025, Aptargroup, Inc. and Aptar France SAS (collectively, “Aptar”) filed a suit against us in the United States District Court for the Southern District of New York, alleging that we violated the Defend Trade Secrets Act (18 USC § 1836), misappropriated trade secrets under New York state law, and committed various breaches of contract (the “Aptar Litigation”). We dispute these allegations and intend to vigorously defend ourselves in the Aptar Litigation. 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Additionally, delays caused by the federal agencies may increase the time period that we are subject to such claims.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89" w:name="page90"/>
    <w:bookmarkEnd w:id="89"/>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 xml:space="preserve">There is a substantial amount of intellectual property litigation in the pharmaceutical industry, and we may become party to, or threatened with, litigation or other adversarial proceedings regarding intellectual property rights with respect to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Third parties may assert infringement claims against us based on existing or future intellectual property rights. The pharmaceutical industry has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or of use either do not infringe the patent claims of the relevant patent or that the patent claims are invalid or unenforceable, and we may not be able to do this. Proving invalidity of third-party patents may be difficult and uncertain. Even if we are successful in these proceedings, we may incur substantial costs and the time and attention of our management and scientific personnel could be diverted in defending our rights in these proceedings, which could have a material adverse effect on our business and operations. In addition, we may not have sufficient resources to bring these actions to a successful conclusion.</w:t>
      </w:r>
    </w:p>
    <w:p>
      <w:pPr>
        <w:spacing w:after="0" w:line="149"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 xml:space="preserve">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28" w:lineRule="exact"/>
        <w:rPr>
          <w:sz w:val="20"/>
          <w:szCs w:val="20"/>
          <w:color w:val="auto"/>
        </w:rPr>
      </w:pPr>
    </w:p>
    <w:p>
      <w:pPr>
        <w:ind w:left="640" w:right="65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We may become involved in lawsuits to protect or enforce our patents or other intellectual property, which could be expensive, time consuming and unsuccessful and could result in a court or administrative body finding our patents to be invalid or unenforceable.*</w:t>
      </w:r>
    </w:p>
    <w:p>
      <w:pPr>
        <w:spacing w:after="0" w:line="218" w:lineRule="exact"/>
        <w:rPr>
          <w:sz w:val="20"/>
          <w:szCs w:val="20"/>
          <w:color w:val="auto"/>
        </w:rPr>
      </w:pPr>
    </w:p>
    <w:p>
      <w:pPr>
        <w:ind w:left="640" w:right="779" w:firstLine="351"/>
        <w:spacing w:after="0" w:line="260" w:lineRule="auto"/>
        <w:rPr>
          <w:sz w:val="20"/>
          <w:szCs w:val="20"/>
          <w:color w:val="auto"/>
        </w:rPr>
      </w:pPr>
      <w:r>
        <w:rPr>
          <w:rFonts w:ascii="Times New Roman" w:cs="Times New Roman" w:eastAsia="Times New Roman" w:hAnsi="Times New Roman"/>
          <w:sz w:val="14"/>
          <w:szCs w:val="14"/>
          <w:color w:val="auto"/>
        </w:rPr>
        <w:t>Even if the patent applications we own, co-own or license are issued, third parties may challenge or infringe upon our patents. To counter infringement, we may be required to file infringement claims, which can be expensive and time-consuming. In patent litigation in the United States, defendant counterclaims alleging invalidity or unenforceability are commonplace. Grounds for a validity challenge could be an alleged failure to meet any of several statutory requirements, including novelty, non-obviousness (or inventive step), written description or enablement. In addition, patent validity challenges may, under certain circumstances, be based upon non-statutory obviousness-type double patenting, which, if successful, could result in a finding that the claims are invalid for obviousness-type double patenting or the loss of patent term if a terminal disclaimer is filed to obviate a finding of obviousness-type double patenting. Grounds for an unenforceability assertion could be an allegation that someone connected with prosecution of the patent withheld information material to patentability from the USPTO, or made a misleading statement, during prosecution.</w:t>
      </w:r>
    </w:p>
    <w:p>
      <w:pPr>
        <w:spacing w:after="0" w:line="149" w:lineRule="exact"/>
        <w:rPr>
          <w:sz w:val="20"/>
          <w:szCs w:val="20"/>
          <w:color w:val="auto"/>
        </w:rPr>
      </w:pPr>
    </w:p>
    <w:p>
      <w:pPr>
        <w:ind w:left="640" w:right="739" w:firstLine="397"/>
        <w:spacing w:after="0" w:line="259" w:lineRule="auto"/>
        <w:rPr>
          <w:sz w:val="20"/>
          <w:szCs w:val="20"/>
          <w:color w:val="auto"/>
        </w:rPr>
      </w:pPr>
      <w:r>
        <w:rPr>
          <w:rFonts w:ascii="Times New Roman" w:cs="Times New Roman" w:eastAsia="Times New Roman" w:hAnsi="Times New Roman"/>
          <w:sz w:val="14"/>
          <w:szCs w:val="14"/>
          <w:color w:val="auto"/>
        </w:rPr>
        <w:t>Third parties may raise similar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or cancellation of or amendment to our patents in such a way that they no longer cover our current or future products or provide any competitive advantage. The outcome following legal assertions of invalidity and unenforceability is unpredictable. If a third party were to prevail on a legal assertion of invalidity or unenforceability, we could lose part or all of the patent protection on one or more of our current or future products, which could result in our competitors and other third parties using our technology to compete with us. Such a loss of patent protection could have a material adverse impact on our business, financial condition, results of operations, cash flows and prospects. Additionally, we may be subject to claims of patent infringement during those proceedings, and delays caused by the federal agencies may increase the time period that we are subject to such claims. For example, administrative changes, including reduced staff and budgets experienced by the USPTO Patent and Trial Appeal Board, could further delay our ability to timely challenge any such patents.</w:t>
      </w:r>
    </w:p>
    <w:p>
      <w:pPr>
        <w:spacing w:after="0" w:line="149" w:lineRule="exact"/>
        <w:rPr>
          <w:sz w:val="20"/>
          <w:szCs w:val="20"/>
          <w:color w:val="auto"/>
        </w:rPr>
      </w:pPr>
    </w:p>
    <w:p>
      <w:pPr>
        <w:ind w:left="640" w:right="659" w:firstLine="397"/>
        <w:spacing w:after="0" w:line="262" w:lineRule="auto"/>
        <w:rPr>
          <w:sz w:val="20"/>
          <w:szCs w:val="20"/>
          <w:color w:val="auto"/>
        </w:rPr>
      </w:pPr>
      <w:r>
        <w:rPr>
          <w:rFonts w:ascii="Times New Roman" w:cs="Times New Roman" w:eastAsia="Times New Roman" w:hAnsi="Times New Roman"/>
          <w:sz w:val="14"/>
          <w:szCs w:val="14"/>
          <w:color w:val="auto"/>
        </w:rPr>
        <w:t>We are currently a party to an opposition proceeding at the European Patent Office with respect to EP 3678649. We may, in the future, be a party to other intellectual property litigation or administrative proceedings that are very costly and time-consuming and could interfere with our ability to sell and market our products.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In addition, patent holding companies that focus solely on extracting royalties and settlements by enforcing patent rights may target us, especially as we gain greater visibility and market exposure as a public company.</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90" w:name="page91"/>
    <w:bookmarkEnd w:id="90"/>
    <w:p>
      <w:pPr>
        <w:ind w:left="640" w:right="759" w:firstLine="351"/>
        <w:spacing w:after="0" w:line="268" w:lineRule="auto"/>
        <w:rPr>
          <w:sz w:val="20"/>
          <w:szCs w:val="20"/>
          <w:color w:val="auto"/>
        </w:rPr>
      </w:pPr>
      <w:r>
        <w:rPr>
          <w:rFonts w:ascii="Times New Roman" w:cs="Times New Roman" w:eastAsia="Times New Roman" w:hAnsi="Times New Roman"/>
          <w:sz w:val="14"/>
          <w:szCs w:val="14"/>
          <w:color w:val="auto"/>
        </w:rPr>
        <w:t>In an infringement proceeding, even one initiated by us, there is a risk that a court will decide that our patents are not valid and that we do not have the right to stop the other party from using the inventions they describe. There is also the risk that, even if the validity of such patents is upheld, the court will refuse to stop the other party on the ground that such other party’s activities do not infringe our rights to these patents.</w:t>
      </w:r>
    </w:p>
    <w:p>
      <w:pPr>
        <w:spacing w:after="0" w:line="140"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An adverse outcome in a litigation or proceeding involving our patents could limit our ability to assert our patents against competitors, affect our ability to receive royalties or other licensing consideration from our licensees, and may curtail or preclude our ability to exclude third parties from making, using and selling similar or competitive products. Any of these occurrences could have a material adverse effect on our business, financial condition, results of operations, cash flows and prospects.</w:t>
      </w:r>
    </w:p>
    <w:p>
      <w:pPr>
        <w:spacing w:after="0" w:line="140"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Competitors may infringe our patents, trademarks, copyrights or other intellectual property that relate to our research programs and product candidates, their respective methods of use, manufacture and formulations thereof.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that we own or have licensed is invalid or unenforceable, in whole or in part, and that we do not have the right to stop the other party from using the invention at issue. There is also a risk that, even if the validity of our patents is upheld, the court will construe the claims of our patents narrowly or decide that we do not have the right to stop the other party from using the invention at issue on the grounds that our patent claims do not cover the invention at issue.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unenforceable, or that the party against whom we have asserted trademark infringement has superior rights to the marks in question. In this case, we could ultimately be forced to cease use of such trademarks and pay for damages.</w:t>
      </w:r>
    </w:p>
    <w:p>
      <w:pPr>
        <w:spacing w:after="0" w:line="153" w:lineRule="exact"/>
        <w:rPr>
          <w:sz w:val="20"/>
          <w:szCs w:val="20"/>
          <w:color w:val="auto"/>
        </w:rPr>
      </w:pPr>
    </w:p>
    <w:p>
      <w:pPr>
        <w:ind w:left="640" w:right="719" w:firstLine="351"/>
        <w:spacing w:after="0" w:line="262" w:lineRule="auto"/>
        <w:rPr>
          <w:sz w:val="20"/>
          <w:szCs w:val="20"/>
          <w:color w:val="auto"/>
        </w:rPr>
      </w:pPr>
      <w:r>
        <w:rPr>
          <w:rFonts w:ascii="Times New Roman" w:cs="Times New Roman" w:eastAsia="Times New Roman" w:hAnsi="Times New Roman"/>
          <w:sz w:val="14"/>
          <w:szCs w:val="14"/>
          <w:color w:val="auto"/>
        </w:rPr>
        <w:t>Even if we establish infringement by competitors, a court may decide not to grant an injunction against further infringing activity by competitors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Moreover, we cannot assure you that we will have sufficient financial or other resources to file and pursue such infringement claims, which typically last for years before they are concluded. Even if we ultimately prevail in such infringement claims, the monetary cost of such litigation and the diversion of the attention of our management and scientific personnel could outweigh any benefit we receive as a result of the proceedings.</w:t>
      </w:r>
    </w:p>
    <w:p>
      <w:pPr>
        <w:spacing w:after="0" w:line="226" w:lineRule="exact"/>
        <w:rPr>
          <w:sz w:val="20"/>
          <w:szCs w:val="20"/>
          <w:color w:val="auto"/>
        </w:rPr>
      </w:pPr>
    </w:p>
    <w:p>
      <w:pPr>
        <w:ind w:left="640" w:right="7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neffy or our current or future intranasal epinephrine technology product candidates may face competition from generic inhalable epinephrine products sooner than expected, and our patents may be challenged.</w:t>
      </w:r>
    </w:p>
    <w:p>
      <w:pPr>
        <w:spacing w:after="0" w:line="32" w:lineRule="exact"/>
        <w:rPr>
          <w:sz w:val="20"/>
          <w:szCs w:val="20"/>
          <w:color w:val="auto"/>
        </w:rPr>
      </w:pPr>
    </w:p>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auto"/>
        </w:rPr>
        <w:t xml:space="preserve">Our success will depend in part on our ability to obtain and/or maintain patent protection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and related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Moreover, the patent applications we have filed or may file in the future may never yield patents that protect our inventions and intellectual property assets. Failure to obtain additional patent coverage and/or maintain existing patent protection for our formulations, methods of treatment, and/or technologies would limit our protection against generic drug manufacturers, pharmaceutical companies and other parties who may seek to copy our products, produce substantially similar products or use technologies substantially similar to those we own, co-own, or exclusively license.</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91" w:name="page92"/>
    <w:bookmarkEnd w:id="91"/>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 xml:space="preserve">We have not received U.S. non-patent marketing exclusivity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which was approved by the FDA under the 505(b)(2) regulatory pathway. Without non-patent marketing exclusivity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we may face competition by third parties seeking to market generic versions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as early as our approval by the FDA. Upon approval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by the FDA, we listed 7 patents with claims covering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the Orange Book. Any subsequent applicant who files an ANDA seeking approval of a generic equivalent version of </w:t>
      </w:r>
      <w:r>
        <w:rPr>
          <w:rFonts w:ascii="Times New Roman" w:cs="Times New Roman" w:eastAsia="Times New Roman" w:hAnsi="Times New Roman"/>
          <w:sz w:val="14"/>
          <w:szCs w:val="14"/>
          <w:i w:val="1"/>
          <w:iCs w:val="1"/>
          <w:color w:val="auto"/>
        </w:rPr>
        <w:t xml:space="preserve">neffy </w:t>
      </w:r>
      <w:r>
        <w:rPr>
          <w:rFonts w:ascii="Times New Roman" w:cs="Times New Roman" w:eastAsia="Times New Roman" w:hAnsi="Times New Roman"/>
          <w:sz w:val="14"/>
          <w:szCs w:val="14"/>
          <w:color w:val="auto"/>
        </w:rPr>
        <w:t>or an NDA submitted under the 505(b)(2) regulatory pathway referencing</w:t>
      </w:r>
      <w:r>
        <w:rPr>
          <w:rFonts w:ascii="Times New Roman" w:cs="Times New Roman" w:eastAsia="Times New Roman" w:hAnsi="Times New Roman"/>
          <w:sz w:val="14"/>
          <w:szCs w:val="14"/>
          <w:i w:val="1"/>
          <w:iCs w:val="1"/>
          <w:color w:val="auto"/>
        </w:rPr>
        <w:t xml:space="preserve"> neffy </w:t>
      </w:r>
      <w:r>
        <w:rPr>
          <w:rFonts w:ascii="Times New Roman" w:cs="Times New Roman" w:eastAsia="Times New Roman" w:hAnsi="Times New Roman"/>
          <w:sz w:val="14"/>
          <w:szCs w:val="14"/>
          <w:color w:val="auto"/>
        </w:rPr>
        <w:t>must make one of the following certifications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the FDA concerning the patents listed in the Orange Book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 the patents that are listed have expired; (b) the date on which such patents will expire; or (c) such patents are invalid or will not be infringed upon by the manufacture, use or sale of the generic equivalent version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the drug product submitted under the 505(b)(2) regulatory pathway referencing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This last certification is known as a paragraph IV certification. A notice of the paragraph IV certification must be provided to us for each patent to which the ANDA or 505(b)(2) application refers. Following receipt of a paragraph IV notice, we may bring a lawsuit for patent infringement against the paragraph IV filer, and we may be entitled to a statutory 30-month stay of approval of the proposed product of the paragraph IV filer. Although we expect to vigorously defend our patents from infringement by third parties, there can be no assurances that we will be successful with respect to such defense or any other legal proceedings which may arise in the ordinary course of our business. Such a failure may have a material impact on our business, our results of operations, and our financial condition in the future.</w:t>
      </w:r>
    </w:p>
    <w:p>
      <w:pPr>
        <w:spacing w:after="0" w:line="317" w:lineRule="exact"/>
        <w:rPr>
          <w:sz w:val="20"/>
          <w:szCs w:val="20"/>
          <w:color w:val="auto"/>
        </w:rPr>
      </w:pPr>
    </w:p>
    <w:p>
      <w:pPr>
        <w:ind w:left="640" w:right="779" w:firstLine="402"/>
        <w:spacing w:after="0" w:line="269" w:lineRule="auto"/>
        <w:rPr>
          <w:sz w:val="20"/>
          <w:szCs w:val="20"/>
          <w:color w:val="auto"/>
        </w:rPr>
      </w:pPr>
      <w:r>
        <w:rPr>
          <w:rFonts w:ascii="Times New Roman" w:cs="Times New Roman" w:eastAsia="Times New Roman" w:hAnsi="Times New Roman"/>
          <w:sz w:val="14"/>
          <w:szCs w:val="14"/>
          <w:color w:val="auto"/>
        </w:rPr>
        <w:t xml:space="preserve">In the EU, we received non-patent marketing exclusivity for </w:t>
      </w:r>
      <w:r>
        <w:rPr>
          <w:rFonts w:ascii="Times New Roman" w:cs="Times New Roman" w:eastAsia="Times New Roman" w:hAnsi="Times New Roman"/>
          <w:sz w:val="14"/>
          <w:szCs w:val="14"/>
          <w:i w:val="1"/>
          <w:iCs w:val="1"/>
          <w:color w:val="auto"/>
        </w:rPr>
        <w:t>EURneffy</w:t>
      </w:r>
      <w:r>
        <w:rPr>
          <w:rFonts w:ascii="Times New Roman" w:cs="Times New Roman" w:eastAsia="Times New Roman" w:hAnsi="Times New Roman"/>
          <w:sz w:val="14"/>
          <w:szCs w:val="14"/>
          <w:color w:val="auto"/>
        </w:rPr>
        <w:t xml:space="preserve">, which received marketing authorization grounded on Article 8(3) of Directive 2001/83/EC by the European Commission. </w:t>
      </w:r>
      <w:r>
        <w:rPr>
          <w:rFonts w:ascii="Times New Roman" w:cs="Times New Roman" w:eastAsia="Times New Roman" w:hAnsi="Times New Roman"/>
          <w:sz w:val="14"/>
          <w:szCs w:val="14"/>
          <w:i w:val="1"/>
          <w:iCs w:val="1"/>
          <w:color w:val="auto"/>
        </w:rPr>
        <w:t>EURneffy</w:t>
      </w:r>
      <w:r>
        <w:rPr>
          <w:rFonts w:ascii="Times New Roman" w:cs="Times New Roman" w:eastAsia="Times New Roman" w:hAnsi="Times New Roman"/>
          <w:sz w:val="14"/>
          <w:szCs w:val="14"/>
          <w:color w:val="auto"/>
        </w:rPr>
        <w:t xml:space="preserve"> received an eight-year period of data protection whereby another applicant cannot rely the data submitted as part of the </w:t>
      </w:r>
      <w:r>
        <w:rPr>
          <w:rFonts w:ascii="Times New Roman" w:cs="Times New Roman" w:eastAsia="Times New Roman" w:hAnsi="Times New Roman"/>
          <w:sz w:val="14"/>
          <w:szCs w:val="14"/>
          <w:i w:val="1"/>
          <w:iCs w:val="1"/>
          <w:color w:val="auto"/>
        </w:rPr>
        <w:t>EURneffy</w:t>
      </w:r>
      <w:r>
        <w:rPr>
          <w:rFonts w:ascii="Times New Roman" w:cs="Times New Roman" w:eastAsia="Times New Roman" w:hAnsi="Times New Roman"/>
          <w:sz w:val="14"/>
          <w:szCs w:val="14"/>
          <w:color w:val="auto"/>
        </w:rPr>
        <w:t xml:space="preserve"> marketing authorization application, and a ten-year period of marketing protection during which a generic, hybrid or biosimilar cannot be placed on the market in the EU.</w:t>
      </w:r>
    </w:p>
    <w:p>
      <w:pPr>
        <w:spacing w:after="0" w:line="221" w:lineRule="exact"/>
        <w:rPr>
          <w:sz w:val="20"/>
          <w:szCs w:val="20"/>
          <w:color w:val="auto"/>
        </w:rPr>
      </w:pPr>
    </w:p>
    <w:p>
      <w:pPr>
        <w:ind w:left="640" w:right="6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Because of the expense and uncertainty of litigation, we may not be in a position to enforce our intellectual property rights against third parties.</w:t>
      </w:r>
    </w:p>
    <w:p>
      <w:pPr>
        <w:spacing w:after="0" w:line="34" w:lineRule="exact"/>
        <w:rPr>
          <w:sz w:val="20"/>
          <w:szCs w:val="20"/>
          <w:color w:val="auto"/>
        </w:rPr>
      </w:pPr>
    </w:p>
    <w:p>
      <w:pPr>
        <w:jc w:val="both"/>
        <w:ind w:left="640" w:right="959" w:firstLine="351"/>
        <w:spacing w:after="0" w:line="268" w:lineRule="auto"/>
        <w:rPr>
          <w:sz w:val="20"/>
          <w:szCs w:val="20"/>
          <w:color w:val="auto"/>
        </w:rPr>
      </w:pPr>
      <w:r>
        <w:rPr>
          <w:rFonts w:ascii="Times New Roman" w:cs="Times New Roman" w:eastAsia="Times New Roman" w:hAnsi="Times New Roman"/>
          <w:sz w:val="14"/>
          <w:szCs w:val="14"/>
          <w:color w:val="auto"/>
        </w:rPr>
        <w:t>Because of the expense and uncertainty of litigation, we may conclude that even if a third party is infringing any one of our issued patents or other intellectual property rights, the risk-adjusted cost of bringing and enforcing such an infringement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litigation may lead to unfavorable publicity that harms our reputation.</w:t>
      </w:r>
    </w:p>
    <w:p>
      <w:pPr>
        <w:spacing w:after="0" w:line="101"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During the course of any intellectual property litigation, there could be public announcements of the initiation of the litigation as well as results of hearings, rulings on motions, and other interim proceedings in the litigation. Such announcements could harm our reputation, the perceived value of our intellectual property or the market for our existing or future products, which could have a material adverse effect on our business.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We may become subject to claims challenging the inventorship or ownership of our patents and other intellectual property.</w:t>
      </w:r>
    </w:p>
    <w:p>
      <w:pPr>
        <w:spacing w:after="0" w:line="101"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 xml:space="preserve">We may be subject to claims that former employees, consultants, independent contractors, collaborators or other third parties have an interest in our patents or other intellectual property as an owner, co-owner,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3" w:right="1440" w:bottom="1440" w:gutter="0" w:footer="0" w:header="0"/>
        </w:sectPr>
      </w:pPr>
    </w:p>
    <w:bookmarkStart w:id="92" w:name="page93"/>
    <w:bookmarkEnd w:id="92"/>
    <w:p>
      <w:pPr>
        <w:ind w:left="64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4"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have registered and pending trademarks in the United States, as well as in several foreign jurisdictions, including the United Kingdom, EU, and Japan. We may not be able to obtain applicable corresponding health regulatory approval to use these trademarks for our product. Our trademarks or trade names may be refused, challenged, infringed, circumvented,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 We may not be able to register or use our trademarks in all relevant jurisdictions. During trademark registration proceedings, we may receive rejections. Although we would be given an opportunity to respond to or appeal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register or use, or obtain corresponding health regulatory approval for, a particular trademark in a given jurisdiction, we may need to adopt a different trademark in that territory, which could entail additional costs and diminish our brand equity.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w:t>
      </w: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rights do not necessarily address all potential threats to our competitive advantage.</w:t>
      </w:r>
    </w:p>
    <w:p>
      <w:pPr>
        <w:spacing w:after="0" w:line="101"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may lose the allowed or granted claims altogether. In addition, the degree of future protection afforded by our intellectual property rights is uncertain because even granted intellectual property rights have limitations, and may not adequately protect our business. The following examples are illustrative:</w:t>
      </w:r>
    </w:p>
    <w:p>
      <w:pPr>
        <w:spacing w:after="0" w:line="57" w:lineRule="exact"/>
        <w:rPr>
          <w:sz w:val="20"/>
          <w:szCs w:val="20"/>
          <w:color w:val="auto"/>
        </w:rPr>
      </w:pPr>
    </w:p>
    <w:p>
      <w:pPr>
        <w:ind w:left="1340" w:right="659" w:hanging="352"/>
        <w:spacing w:after="0" w:line="295" w:lineRule="auto"/>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others may be able to make formulations that are similar to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but that are not covered by the claims of our patent rights;</w:t>
      </w:r>
    </w:p>
    <w:p>
      <w:pPr>
        <w:spacing w:after="0" w:line="35"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patents of third parties may have an adverse effect on our business;</w:t>
      </w:r>
    </w:p>
    <w:p>
      <w:pPr>
        <w:spacing w:after="0" w:line="96" w:lineRule="exact"/>
        <w:rPr>
          <w:rFonts w:ascii="Times New Roman" w:cs="Times New Roman" w:eastAsia="Times New Roman" w:hAnsi="Times New Roman"/>
          <w:sz w:val="14"/>
          <w:szCs w:val="14"/>
          <w:color w:val="auto"/>
        </w:rPr>
      </w:pPr>
    </w:p>
    <w:p>
      <w:pPr>
        <w:jc w:val="both"/>
        <w:ind w:left="1340" w:right="999" w:hanging="352"/>
        <w:spacing w:after="0" w:line="292" w:lineRule="auto"/>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licensors or any future strategic partners might not have been the first to conceive or reduce to practice the inventions covered by the issued patents or pending patent applications that we own, co-own or exclusively license;</w:t>
      </w:r>
    </w:p>
    <w:p>
      <w:pPr>
        <w:spacing w:after="0" w:line="37" w:lineRule="exact"/>
        <w:rPr>
          <w:rFonts w:ascii="Times New Roman" w:cs="Times New Roman" w:eastAsia="Times New Roman" w:hAnsi="Times New Roman"/>
          <w:sz w:val="14"/>
          <w:szCs w:val="14"/>
          <w:color w:val="auto"/>
        </w:rPr>
      </w:pPr>
    </w:p>
    <w:p>
      <w:pPr>
        <w:ind w:left="1340" w:right="679" w:hanging="352"/>
        <w:spacing w:after="0" w:line="292" w:lineRule="auto"/>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licensors or any future strategic partners might not have been the first to file patent applications covering certain of our inventions;</w:t>
      </w:r>
    </w:p>
    <w:p>
      <w:pPr>
        <w:spacing w:after="0" w:line="37" w:lineRule="exact"/>
        <w:rPr>
          <w:rFonts w:ascii="Times New Roman" w:cs="Times New Roman" w:eastAsia="Times New Roman" w:hAnsi="Times New Roman"/>
          <w:sz w:val="14"/>
          <w:szCs w:val="14"/>
          <w:color w:val="auto"/>
        </w:rPr>
      </w:pPr>
    </w:p>
    <w:p>
      <w:pPr>
        <w:ind w:left="1340" w:right="1159" w:hanging="352"/>
        <w:spacing w:after="0" w:line="292" w:lineRule="auto"/>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independently develop similar or alternative technologies or duplicate any of our technologies without infringing our intellectual property rights;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our pending patent applications will not lead to issued patents;</w:t>
      </w:r>
    </w:p>
    <w:p>
      <w:pPr>
        <w:spacing w:after="0" w:line="96" w:lineRule="exact"/>
        <w:rPr>
          <w:rFonts w:ascii="Times New Roman" w:cs="Times New Roman" w:eastAsia="Times New Roman" w:hAnsi="Times New Roman"/>
          <w:sz w:val="14"/>
          <w:szCs w:val="14"/>
          <w:color w:val="auto"/>
        </w:rPr>
      </w:pPr>
    </w:p>
    <w:p>
      <w:pPr>
        <w:jc w:val="both"/>
        <w:ind w:left="1340" w:right="1119" w:hanging="352"/>
        <w:spacing w:after="0" w:line="292" w:lineRule="auto"/>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patents that we may own or co-own or that we exclusively license in the future may not provide us with any competitive advantage, or may be held invalid or unenforceable, as a result of legal challenges by our competitors;</w:t>
      </w:r>
    </w:p>
    <w:p>
      <w:pPr>
        <w:spacing w:after="0" w:line="37" w:lineRule="exact"/>
        <w:rPr>
          <w:rFonts w:ascii="Times New Roman" w:cs="Times New Roman" w:eastAsia="Times New Roman" w:hAnsi="Times New Roman"/>
          <w:sz w:val="14"/>
          <w:szCs w:val="14"/>
          <w:color w:val="auto"/>
        </w:rPr>
      </w:pPr>
    </w:p>
    <w:p>
      <w:pPr>
        <w:jc w:val="both"/>
        <w:ind w:left="1340" w:right="839" w:hanging="352"/>
        <w:spacing w:after="0" w:line="274" w:lineRule="auto"/>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8" w:lineRule="exact"/>
        <w:rPr>
          <w:rFonts w:ascii="Times New Roman" w:cs="Times New Roman" w:eastAsia="Times New Roman" w:hAnsi="Times New Roman"/>
          <w:sz w:val="14"/>
          <w:szCs w:val="14"/>
          <w:color w:val="auto"/>
        </w:rPr>
      </w:pPr>
    </w:p>
    <w:p>
      <w:pPr>
        <w:ind w:left="1340" w:right="939" w:hanging="352"/>
        <w:spacing w:after="0" w:line="275" w:lineRule="auto"/>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third parties performing manufacturing or testing for us using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or technologies could use the intellectual property of others without obtaining a proper license;</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develop additional proprietary technologies that are patentable;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patents of others may have an adverse effect on our business.</w:t>
      </w:r>
    </w:p>
    <w:p>
      <w:pPr>
        <w:spacing w:after="0" w:line="183" w:lineRule="exact"/>
        <w:rPr>
          <w:sz w:val="20"/>
          <w:szCs w:val="20"/>
          <w:color w:val="auto"/>
        </w:rPr>
      </w:pPr>
    </w:p>
    <w:p>
      <w:pPr>
        <w:ind w:left="640" w:right="1059" w:firstLine="351"/>
        <w:spacing w:after="0" w:line="292" w:lineRule="auto"/>
        <w:rPr>
          <w:sz w:val="20"/>
          <w:szCs w:val="20"/>
          <w:color w:val="auto"/>
        </w:rPr>
      </w:pPr>
      <w:r>
        <w:rPr>
          <w:rFonts w:ascii="Times New Roman" w:cs="Times New Roman" w:eastAsia="Times New Roman" w:hAnsi="Times New Roman"/>
          <w:sz w:val="14"/>
          <w:szCs w:val="14"/>
          <w:color w:val="auto"/>
        </w:rPr>
        <w:t>Should any of these events occur, they could have a material adverse effect on our business, financial condition, results of operations and prospects.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93" w:name="page94"/>
    <w:bookmarkEnd w:id="93"/>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trade secrets, our business and competitive position would be harmed.</w:t>
      </w:r>
    </w:p>
    <w:p>
      <w:pPr>
        <w:spacing w:after="0" w:line="101"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 xml:space="preserve">In addition to seeking patent protection for some of our technology and product candidates, we also rely on trade secrets, including unpatented know-how, technology and other proprietary information, to maintain our competitive position. Elements of </w:t>
      </w:r>
      <w:r>
        <w:rPr>
          <w:rFonts w:ascii="Times New Roman" w:cs="Times New Roman" w:eastAsia="Times New Roman" w:hAnsi="Times New Roman"/>
          <w:sz w:val="14"/>
          <w:szCs w:val="14"/>
          <w:i w:val="1"/>
          <w:iCs w:val="1"/>
          <w:color w:val="auto"/>
        </w:rPr>
        <w:t xml:space="preserve">neffy </w:t>
      </w:r>
      <w:r>
        <w:rPr>
          <w:rFonts w:ascii="Times New Roman" w:cs="Times New Roman" w:eastAsia="Times New Roman" w:hAnsi="Times New Roman"/>
          <w:sz w:val="14"/>
          <w:szCs w:val="14"/>
          <w:color w:val="auto"/>
        </w:rPr>
        <w:t>or our current or future intranasal epinephrine technology product candidates, including processes for their preparation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spacing w:after="0" w:line="149" w:lineRule="exact"/>
        <w:rPr>
          <w:sz w:val="20"/>
          <w:szCs w:val="20"/>
          <w:color w:val="auto"/>
        </w:rPr>
      </w:pPr>
    </w:p>
    <w:p>
      <w:pPr>
        <w:ind w:left="640" w:right="719" w:firstLine="351"/>
        <w:spacing w:after="0" w:line="258" w:lineRule="auto"/>
        <w:rPr>
          <w:sz w:val="20"/>
          <w:szCs w:val="20"/>
          <w:color w:val="auto"/>
        </w:rPr>
      </w:pPr>
      <w:r>
        <w:rPr>
          <w:rFonts w:ascii="Times New Roman" w:cs="Times New Roman" w:eastAsia="Times New Roman" w:hAnsi="Times New Roman"/>
          <w:sz w:val="14"/>
          <w:szCs w:val="14"/>
          <w:color w:val="auto"/>
        </w:rPr>
        <w:t>Trade secrets and unpatented know-how can be difficult to protect. We require our employees to enter into written employment agreements containing provisions of confidentiality and obligations to assign to us any inventions generated in the course of their employment. We and any third parties with whom we share facilities enter into written agreements that include confidentiality and intellectual property obligations to protect each party’s property, potential trade secrets, proprietary know-how and information. We further seek to protect our potential trade secrets, proprietary know-how and information in part, by entering into non-disclosure and confidentiality agreements with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Although we have taken steps to protect our trade secrets and unpatented know-how, we cannot provide any assurances that all such agreements have been duly executed, and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52"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Trade secrets may be independently developed by others in a manner that could prevent legal recourse by us. Trade secrets will over time be disseminated within the industry through independent development, the publication of journal articles and the movement of skilled personnel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Because from time-to-time we expect to rely on third parties,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spacing w:after="0" w:line="233" w:lineRule="exact"/>
        <w:rPr>
          <w:sz w:val="20"/>
          <w:szCs w:val="20"/>
          <w:color w:val="auto"/>
        </w:rPr>
      </w:pPr>
    </w:p>
    <w:p>
      <w:pPr>
        <w:ind w:left="640" w:right="11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that our employees, consultants or independent contractors have wrongfully used or disclosed confidential information of third parties.*</w:t>
      </w:r>
    </w:p>
    <w:p>
      <w:pPr>
        <w:spacing w:after="0" w:line="34"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employ individuals who previously worked with other companies, including our competitors or potential competitors. We are and could in the future be subject to claims that we or our employees, consultants, or independent contractors have inadvertently or otherwise used or disclosed alleged trade secrets or other confidential information of current or former employers or competitors, including, for example, the Aptar Litigation. Although we try to ensure that our employees, consultants and independent contractors do not use the intellectual property, proprietary information, know-how or trade secrets of others in their work for us, we are, and may in the future, become subject to claims that we caused an individual to breach the terms of his or her non-competition or non-solicitation agreement, or that we or these individuals have, inadvertently or otherwise, used or disclosed the alleged intellectual property, proprietary information, know-how or trade secrets of a current or former employer or competitor.</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94" w:name="page95"/>
    <w:bookmarkEnd w:id="94"/>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 xml:space="preserve">While we are, and may in the future, litigate to defend against these claims, even if we are successful, litigation could result in substantial costs and could be a distraction to management and other employees. If our defenses to these claims fail, in addition to requiring us to pay monetary damages, a court could prohibit us from using technologies that are essential to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if such technologies are found to incorporate or be derived from the trade secrets or other proprietary information of the current or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w:t>
      </w:r>
    </w:p>
    <w:p>
      <w:pPr>
        <w:spacing w:after="0" w:line="228" w:lineRule="exact"/>
        <w:rPr>
          <w:sz w:val="20"/>
          <w:szCs w:val="20"/>
          <w:color w:val="auto"/>
        </w:rPr>
      </w:pPr>
    </w:p>
    <w:p>
      <w:pPr>
        <w:jc w:val="both"/>
        <w:ind w:left="640" w:right="7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In the future, we may need to obtain additional licenses of third-party technology that may not be available to us or are available only on commercially unreasonable terms, and which may cause us to operate our business in a more costly or otherwise adverse manner that was not anticipated.</w:t>
      </w:r>
    </w:p>
    <w:p>
      <w:pPr>
        <w:spacing w:after="0" w:line="48"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 xml:space="preserve">From time to time, we may be required to license technologies relating to our therapeutic programs from additional third parties to further develop or 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Should we be required to obtain licenses to any third-party technology, including any such patents required to manufacture, use or sell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such licenses may not be available to us on commercially reasonable terms, or at all. The inability to obtain any third-party license required to develop or commercialize any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could cause us to abandon any related efforts, which could seriously harm our business and operations.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Employee Matters and Managing Growth</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Our success is highly dependent on our ability to attract and retain highly skilled executive officers and employees.</w:t>
      </w:r>
    </w:p>
    <w:p>
      <w:pPr>
        <w:spacing w:after="0" w:line="101"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Our success depends, and will likely continue to depend, upon our ability to hire and retain the services of our current executive officers and our other highly qualified personnel. We have entered into employment agreements with each of our executive officers but they may terminate their employment or engagement with us at any time. The loss of their services might impede the achievement of our research, development and commercialization objectives.</w:t>
      </w:r>
    </w:p>
    <w:p>
      <w:pPr>
        <w:spacing w:after="0" w:line="140"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Our ability to compete in the biotechnology and pharmaceuticals industries depends upon our ability to attract and retain highly qualified managerial, scientific, medical, sales and marketing personnel. Our industry has experienced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w:t>
      </w:r>
    </w:p>
    <w:p>
      <w:pPr>
        <w:spacing w:after="0" w:line="142"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Our industry has experienced a high rate of turnover in recent years.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40"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 xml:space="preserve">We rely on consultants and advisors, including scientific and clinical advisors, to assist us in formulating our research and development and commercialization strategy. Our consultants and advisors, which includes entities owned by our executive officers and directors,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and our current or future intranasal epinephrine technology product candidates will be limited.</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95" w:name="page96"/>
    <w:bookmarkEnd w:id="95"/>
    <w:p>
      <w:pPr>
        <w:ind w:left="640" w:right="7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employees, independent contractors, consultants, current and future licensing and collaboration partners and CROs may engage in misconduct or other improper activities, including non-compliance with regulatory standards and requirements, which could cause significant liability for us and harm our reputation.</w:t>
      </w:r>
    </w:p>
    <w:p>
      <w:pPr>
        <w:spacing w:after="0" w:line="48" w:lineRule="exact"/>
        <w:rPr>
          <w:sz w:val="20"/>
          <w:szCs w:val="20"/>
          <w:color w:val="auto"/>
        </w:rPr>
      </w:pPr>
    </w:p>
    <w:p>
      <w:pPr>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We are exposed to the risk that our employees, independent contractors, consultants, current and future licensing and collaboration partners and CROs may engage in fraudulent conduct or other illegal activity. Misconduct by those parties could include intentional, reckless and/or negligent conduct or disclosure of unauthorized activities to us that violates:</w:t>
      </w:r>
    </w:p>
    <w:p>
      <w:pPr>
        <w:spacing w:after="0" w:line="50" w:lineRule="exact"/>
        <w:rPr>
          <w:sz w:val="20"/>
          <w:szCs w:val="20"/>
          <w:color w:val="auto"/>
        </w:rPr>
      </w:pPr>
    </w:p>
    <w:p>
      <w:pPr>
        <w:ind w:left="1340" w:right="759" w:hanging="352"/>
        <w:spacing w:after="0" w:line="292"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FDA regulations or similar regulations of comparable non-U.S. regulatory authorities, including those laws requiring the reporting of true, complete and accurate information to such authorities;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standards;</w:t>
      </w:r>
    </w:p>
    <w:p>
      <w:pPr>
        <w:spacing w:after="0" w:line="96" w:lineRule="exact"/>
        <w:rPr>
          <w:rFonts w:ascii="Times New Roman" w:cs="Times New Roman" w:eastAsia="Times New Roman" w:hAnsi="Times New Roman"/>
          <w:sz w:val="14"/>
          <w:szCs w:val="14"/>
          <w:color w:val="auto"/>
        </w:rPr>
      </w:pPr>
    </w:p>
    <w:p>
      <w:pPr>
        <w:ind w:left="1340" w:right="1159" w:hanging="352"/>
        <w:spacing w:after="0" w:line="292"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healthcare fraud and abuse laws and regulations and similar laws and regulations established and enforced by comparable non-U.S. regulatory authorities; and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that require the reporting of financial information or data accurately.</w:t>
      </w:r>
    </w:p>
    <w:p>
      <w:pPr>
        <w:spacing w:after="0" w:line="183"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Activities subject to these laws also involve the improper use or misrepresentation of information obtained in the course of clinical trials, creating fraudulent data in our nonclinical studies or clinical trials or illegal misappropriation of product materials,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disgorgement, integrity oversight and reporting obligations, possible exclusion from participation in Medicare, Medicaid and other federal healthcare programs or comparable foreign programs, contractual damages, reputational harm, diminished profits and future earnings, and curtailment of our operations, any of which could have a material adverse effect on our ability to operate our business and our results of operations.</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We may encounter difficulties in managing our growth, which could disrupt our operations.</w:t>
      </w:r>
    </w:p>
    <w:p>
      <w:pPr>
        <w:spacing w:after="0" w:line="99"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 xml:space="preserve">We recently expanded our organization following FDA approval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in August 2024. Specifically, we added 108 people to our sales force, and made additional hires in the areas of general and administrative, medical, commercial, sales and marketing, and operations. As a result, our headcount has increased from 23 full-time employees and 5 part-time employees as of July 31, 2024 to 155 full-time employees and 5 part-time employees as of December 31, 2024. We may need to further expand our headcount in the future to support our growth strategy. To manage these growth activities, we must continue to implement and improve our managerial, operational and financial systems, expand our facilities and continue to recruit and train additional qualified personnel. Our management may need to devote a significant amount of our attention to managing these growth activities. Due to our limited financial resources and the limited experience of our management team in managing a company with such recent and anticipated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If we are unable to effectively manage our recent and expected growth, our ability to generate revenues or achieve future profitability could be reduced and we may not be able to implement our business strategy, including the successful commercialization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96" w:name="page97"/>
    <w:bookmarkEnd w:id="96"/>
    <w:p>
      <w:pPr>
        <w:ind w:left="640" w:right="3579"/>
        <w:spacing w:after="0" w:line="385" w:lineRule="auto"/>
        <w:rPr>
          <w:sz w:val="20"/>
          <w:szCs w:val="20"/>
          <w:color w:val="auto"/>
        </w:rPr>
      </w:pPr>
      <w:r>
        <w:rPr>
          <w:rFonts w:ascii="Times New Roman" w:cs="Times New Roman" w:eastAsia="Times New Roman" w:hAnsi="Times New Roman"/>
          <w:sz w:val="14"/>
          <w:szCs w:val="14"/>
          <w:b w:val="1"/>
          <w:bCs w:val="1"/>
          <w:color w:val="auto"/>
        </w:rPr>
        <w:t xml:space="preserve">Risks Related to the Securities Markets and Ownership of Our Common Stock </w:t>
      </w:r>
      <w:r>
        <w:rPr>
          <w:rFonts w:ascii="Times New Roman" w:cs="Times New Roman" w:eastAsia="Times New Roman" w:hAnsi="Times New Roman"/>
          <w:sz w:val="14"/>
          <w:szCs w:val="14"/>
          <w:b w:val="1"/>
          <w:bCs w:val="1"/>
          <w:i w:val="1"/>
          <w:iCs w:val="1"/>
          <w:color w:val="auto"/>
        </w:rPr>
        <w:t>The market price of our common stock could be volatile.*</w:t>
      </w:r>
    </w:p>
    <w:p>
      <w:pPr>
        <w:spacing w:after="0" w:line="1" w:lineRule="exact"/>
        <w:rPr>
          <w:sz w:val="20"/>
          <w:szCs w:val="20"/>
          <w:color w:val="auto"/>
        </w:rPr>
      </w:pPr>
    </w:p>
    <w:p>
      <w:pPr>
        <w:ind w:left="640" w:right="759" w:firstLine="351"/>
        <w:spacing w:after="0" w:line="274" w:lineRule="auto"/>
        <w:rPr>
          <w:sz w:val="20"/>
          <w:szCs w:val="20"/>
          <w:color w:val="auto"/>
        </w:rPr>
      </w:pPr>
      <w:r>
        <w:rPr>
          <w:rFonts w:ascii="Times New Roman" w:cs="Times New Roman" w:eastAsia="Times New Roman" w:hAnsi="Times New Roman"/>
          <w:sz w:val="14"/>
          <w:szCs w:val="14"/>
          <w:color w:val="auto"/>
        </w:rPr>
        <w:t>The market price of our common stock could be subject to significant fluctuations. Market prices for securities of pharmaceutical, biotechnology and other life sciences companies have historically been particularly volatile. Some of the factors that may cause the market price of our common stock to fluctuate include:</w:t>
      </w:r>
    </w:p>
    <w:p>
      <w:pPr>
        <w:spacing w:after="0" w:line="50" w:lineRule="exact"/>
        <w:rPr>
          <w:sz w:val="20"/>
          <w:szCs w:val="20"/>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meet or exceed financial and development projections we may provide to the public;</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meet or exceed the financial and development projections of the investment community;</w:t>
      </w:r>
    </w:p>
    <w:p>
      <w:pPr>
        <w:spacing w:after="0" w:line="94"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ability to maintain regulatory approval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or obtain regulatory approvals for additional indications;</w:t>
      </w:r>
    </w:p>
    <w:p>
      <w:pPr>
        <w:spacing w:after="0" w:line="96" w:lineRule="exact"/>
        <w:rPr>
          <w:rFonts w:ascii="Times New Roman" w:cs="Times New Roman" w:eastAsia="Times New Roman" w:hAnsi="Times New Roman"/>
          <w:sz w:val="14"/>
          <w:szCs w:val="14"/>
          <w:color w:val="auto"/>
        </w:rPr>
      </w:pPr>
    </w:p>
    <w:p>
      <w:pPr>
        <w:ind w:left="1340" w:right="1019" w:hanging="352"/>
        <w:spacing w:after="0" w:line="295"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failure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to achieve commercial success;</w:t>
      </w:r>
    </w:p>
    <w:p>
      <w:pPr>
        <w:spacing w:after="0" w:line="35"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us to maintain our existing third-party license and supply agreements;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us or our licensors to prosecute, maintain, or enforce our intellectual property rights;</w:t>
      </w:r>
    </w:p>
    <w:p>
      <w:pPr>
        <w:spacing w:after="0" w:line="94" w:lineRule="exact"/>
        <w:rPr>
          <w:rFonts w:ascii="Times New Roman" w:cs="Times New Roman" w:eastAsia="Times New Roman" w:hAnsi="Times New Roman"/>
          <w:sz w:val="14"/>
          <w:szCs w:val="14"/>
          <w:color w:val="auto"/>
        </w:rPr>
      </w:pPr>
    </w:p>
    <w:p>
      <w:pPr>
        <w:ind w:left="1340" w:right="1059" w:hanging="352"/>
        <w:spacing w:after="0" w:line="295"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changes in laws or regulations applicable to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w:t>
      </w:r>
    </w:p>
    <w:p>
      <w:pPr>
        <w:spacing w:after="0" w:line="33" w:lineRule="exact"/>
        <w:rPr>
          <w:rFonts w:ascii="Times New Roman" w:cs="Times New Roman" w:eastAsia="Times New Roman" w:hAnsi="Times New Roman"/>
          <w:sz w:val="14"/>
          <w:szCs w:val="14"/>
          <w:color w:val="auto"/>
        </w:rPr>
      </w:pPr>
    </w:p>
    <w:p>
      <w:pPr>
        <w:ind w:left="1340" w:right="1179" w:hanging="352"/>
        <w:spacing w:after="0" w:line="295"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inability to obtain adequate supply of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 or any of its components, or the inability to do so at acceptable prices;</w:t>
      </w:r>
    </w:p>
    <w:p>
      <w:pPr>
        <w:spacing w:after="0" w:line="35"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regulatory authority decisions;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introduction of new products, services or technologies by our competitors;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perception of the pharmaceutical industry by the public, legislatures, regulators and the investment community;</w:t>
      </w:r>
    </w:p>
    <w:p>
      <w:pPr>
        <w:spacing w:after="0" w:line="96" w:lineRule="exact"/>
        <w:rPr>
          <w:rFonts w:ascii="Times New Roman" w:cs="Times New Roman" w:eastAsia="Times New Roman" w:hAnsi="Times New Roman"/>
          <w:sz w:val="14"/>
          <w:szCs w:val="14"/>
          <w:color w:val="auto"/>
        </w:rPr>
      </w:pPr>
    </w:p>
    <w:p>
      <w:pPr>
        <w:ind w:left="1340" w:right="899" w:hanging="352"/>
        <w:spacing w:after="0" w:line="292"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significant acquisitions, strategic collaborations, joint ventures or capital commitments by us or our competitors;</w:t>
      </w:r>
    </w:p>
    <w:p>
      <w:pPr>
        <w:spacing w:after="0" w:line="37" w:lineRule="exact"/>
        <w:rPr>
          <w:rFonts w:ascii="Times New Roman" w:cs="Times New Roman" w:eastAsia="Times New Roman" w:hAnsi="Times New Roman"/>
          <w:sz w:val="14"/>
          <w:szCs w:val="14"/>
          <w:color w:val="auto"/>
        </w:rPr>
      </w:pPr>
    </w:p>
    <w:p>
      <w:pPr>
        <w:ind w:left="1340" w:right="699" w:hanging="352"/>
        <w:spacing w:after="0" w:line="292"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disputes or other developments relating to proprietary rights, including patents, litigation matters, and our ability to obtain patent protection for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xml:space="preserve"> or our current or future intranasal epinephrine technology product candidates;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personnel;</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lawsuits, including patent or stockholder litigation;</w:t>
      </w:r>
    </w:p>
    <w:p>
      <w:pPr>
        <w:spacing w:after="0" w:line="96" w:lineRule="exact"/>
        <w:rPr>
          <w:rFonts w:ascii="Times New Roman" w:cs="Times New Roman" w:eastAsia="Times New Roman" w:hAnsi="Times New Roman"/>
          <w:sz w:val="14"/>
          <w:szCs w:val="14"/>
          <w:color w:val="auto"/>
        </w:rPr>
      </w:pPr>
    </w:p>
    <w:p>
      <w:pPr>
        <w:ind w:left="1340" w:right="1079" w:hanging="352"/>
        <w:spacing w:after="0" w:line="292"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securities or industry analysts do not publish research or reports about our business, or if they issue an adverse or misleading opinion regarding our business and stock;</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 valuations of similar companies;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or macroeconomic conditions, including as a result of actual or threatened tariffs and trade wars;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common stock by us or our stockholders in the future;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volume of our common stock;</w:t>
      </w:r>
    </w:p>
    <w:p>
      <w:pPr>
        <w:spacing w:after="0" w:line="96" w:lineRule="exact"/>
        <w:rPr>
          <w:rFonts w:ascii="Times New Roman" w:cs="Times New Roman" w:eastAsia="Times New Roman" w:hAnsi="Times New Roman"/>
          <w:sz w:val="14"/>
          <w:szCs w:val="14"/>
          <w:color w:val="auto"/>
        </w:rPr>
      </w:pPr>
    </w:p>
    <w:p>
      <w:pPr>
        <w:ind w:left="1340" w:right="739" w:hanging="352"/>
        <w:spacing w:after="0" w:line="292"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commercial partners or competitors of new commercial products, clinical progress or the lack thereof, significant contracts, commercial relationships or capital commitments;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publicity generally, including with respect to other products and potential products in such markets;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introduction of technological innovations or new therapies that compete with potential products of ours;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health care payment systems;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period-to-period fluctuations in our financial results.</w:t>
      </w:r>
    </w:p>
    <w:p>
      <w:pPr>
        <w:spacing w:after="0" w:line="183" w:lineRule="exact"/>
        <w:rPr>
          <w:sz w:val="20"/>
          <w:szCs w:val="20"/>
          <w:color w:val="auto"/>
        </w:rPr>
      </w:pPr>
    </w:p>
    <w:p>
      <w:pPr>
        <w:jc w:val="both"/>
        <w:ind w:left="640" w:right="939" w:firstLine="351"/>
        <w:spacing w:after="0" w:line="274" w:lineRule="auto"/>
        <w:rPr>
          <w:sz w:val="20"/>
          <w:szCs w:val="20"/>
          <w:color w:val="auto"/>
        </w:rPr>
      </w:pPr>
      <w:r>
        <w:rPr>
          <w:rFonts w:ascii="Times New Roman" w:cs="Times New Roman" w:eastAsia="Times New Roman" w:hAnsi="Times New Roman"/>
          <w:sz w:val="14"/>
          <w:szCs w:val="14"/>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w:t>
      </w:r>
    </w:p>
    <w:p>
      <w:pPr>
        <w:spacing w:after="0" w:line="136" w:lineRule="exact"/>
        <w:rPr>
          <w:sz w:val="20"/>
          <w:szCs w:val="20"/>
          <w:color w:val="auto"/>
        </w:rPr>
      </w:pPr>
    </w:p>
    <w:p>
      <w:pPr>
        <w:ind w:left="640" w:right="719" w:firstLine="351"/>
        <w:spacing w:after="0" w:line="292" w:lineRule="auto"/>
        <w:rPr>
          <w:sz w:val="20"/>
          <w:szCs w:val="20"/>
          <w:color w:val="auto"/>
        </w:rPr>
      </w:pPr>
      <w:r>
        <w:rPr>
          <w:rFonts w:ascii="Times New Roman" w:cs="Times New Roman" w:eastAsia="Times New Roman" w:hAnsi="Times New Roman"/>
          <w:sz w:val="14"/>
          <w:szCs w:val="14"/>
          <w:color w:val="auto"/>
        </w:rPr>
        <w:t>In the past, following periods of volatility in the market price of a company’s securities, stockholders have often instituted class action securities litigation against those companies.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97" w:name="page98"/>
    <w:bookmarkEnd w:id="97"/>
    <w:p>
      <w:pPr>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Additionally, a decrease in the stock price of our common stock may cause our common stock to no longer satisfy the continued listing standards of Nasdaq. If we are not able to maintain the requirements for listing on Nasdaq, we could be delisted, which could have a materially adverse effect on our ability to raise additional funds as well as the price and liquidity of our common stock.</w:t>
      </w:r>
    </w:p>
    <w:p>
      <w:pPr>
        <w:spacing w:after="0" w:line="218" w:lineRule="exact"/>
        <w:rPr>
          <w:sz w:val="20"/>
          <w:szCs w:val="20"/>
          <w:color w:val="auto"/>
        </w:rPr>
      </w:pPr>
    </w:p>
    <w:p>
      <w:pPr>
        <w:ind w:left="640" w:right="9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34"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stockholders. In addition, our amended and restated certificate of incorporation and amended and restated bylaws contain provisions that may make the acquisition of us more difficult, including the following:</w:t>
      </w:r>
    </w:p>
    <w:p>
      <w:pPr>
        <w:spacing w:after="0" w:line="56" w:lineRule="exact"/>
        <w:rPr>
          <w:sz w:val="20"/>
          <w:szCs w:val="20"/>
          <w:color w:val="auto"/>
        </w:rPr>
      </w:pPr>
    </w:p>
    <w:p>
      <w:pPr>
        <w:ind w:left="1340" w:right="699" w:hanging="352"/>
        <w:spacing w:after="0" w:line="292"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of directors with three-year staggered terms, which could delay the ability of stockholders to change the membership of a majority of our board of directors;</w:t>
      </w:r>
    </w:p>
    <w:p>
      <w:pPr>
        <w:spacing w:after="0" w:line="37" w:lineRule="exact"/>
        <w:rPr>
          <w:rFonts w:ascii="Times New Roman" w:cs="Times New Roman" w:eastAsia="Times New Roman" w:hAnsi="Times New Roman"/>
          <w:sz w:val="14"/>
          <w:szCs w:val="14"/>
          <w:color w:val="auto"/>
        </w:rPr>
      </w:pPr>
    </w:p>
    <w:p>
      <w:pPr>
        <w:jc w:val="both"/>
        <w:ind w:left="1340" w:right="759" w:hanging="352"/>
        <w:spacing w:after="0" w:line="274"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50" w:lineRule="exact"/>
        <w:rPr>
          <w:rFonts w:ascii="Times New Roman" w:cs="Times New Roman" w:eastAsia="Times New Roman" w:hAnsi="Times New Roman"/>
          <w:sz w:val="14"/>
          <w:szCs w:val="14"/>
          <w:color w:val="auto"/>
        </w:rPr>
      </w:pPr>
    </w:p>
    <w:p>
      <w:pPr>
        <w:ind w:left="1340" w:right="779" w:hanging="352"/>
        <w:spacing w:after="0" w:line="274"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50" w:lineRule="exact"/>
        <w:rPr>
          <w:rFonts w:ascii="Times New Roman" w:cs="Times New Roman" w:eastAsia="Times New Roman" w:hAnsi="Times New Roman"/>
          <w:sz w:val="14"/>
          <w:szCs w:val="14"/>
          <w:color w:val="auto"/>
        </w:rPr>
      </w:pPr>
    </w:p>
    <w:p>
      <w:pPr>
        <w:ind w:left="1340" w:right="699" w:hanging="352"/>
        <w:spacing w:after="0" w:line="292"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which forces stockholder action to be taken at an annual or special meeting of our stockholders;</w:t>
      </w:r>
    </w:p>
    <w:p>
      <w:pPr>
        <w:spacing w:after="0" w:line="37" w:lineRule="exact"/>
        <w:rPr>
          <w:rFonts w:ascii="Times New Roman" w:cs="Times New Roman" w:eastAsia="Times New Roman" w:hAnsi="Times New Roman"/>
          <w:sz w:val="14"/>
          <w:szCs w:val="14"/>
          <w:color w:val="auto"/>
        </w:rPr>
      </w:pPr>
    </w:p>
    <w:p>
      <w:pPr>
        <w:ind w:left="1340" w:right="1119" w:hanging="352"/>
        <w:spacing w:after="0" w:line="274"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a majority vote of our entire board of directors, the chair of our board of directors or our chief executive officer, which could delay the ability of our stockholders to force consideration of a proposal or to take action, including the removal of directors;</w:t>
      </w:r>
    </w:p>
    <w:p>
      <w:pPr>
        <w:spacing w:after="0" w:line="50" w:lineRule="exact"/>
        <w:rPr>
          <w:rFonts w:ascii="Times New Roman" w:cs="Times New Roman" w:eastAsia="Times New Roman" w:hAnsi="Times New Roman"/>
          <w:sz w:val="14"/>
          <w:szCs w:val="14"/>
          <w:color w:val="auto"/>
        </w:rPr>
      </w:pPr>
    </w:p>
    <w:p>
      <w:pPr>
        <w:ind w:left="1340" w:right="819" w:hanging="352"/>
        <w:spacing w:after="0" w:line="268"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for the affirmative vote of holders of at least 66-2/3% of the voting power of all of the then-outstanding shares of our voting stock, voting together as a single class, to amend the provisions of our amended and restated certificate of incorporation relating to the management of our business or our amended and restated bylaws, which may inhibit the ability of an acquirer to affect such amendments to facilitate an unsolicited takeover attempt; and</w:t>
      </w:r>
    </w:p>
    <w:p>
      <w:pPr>
        <w:spacing w:after="0" w:line="54" w:lineRule="exact"/>
        <w:rPr>
          <w:rFonts w:ascii="Times New Roman" w:cs="Times New Roman" w:eastAsia="Times New Roman" w:hAnsi="Times New Roman"/>
          <w:sz w:val="14"/>
          <w:szCs w:val="14"/>
          <w:color w:val="auto"/>
        </w:rPr>
      </w:pPr>
    </w:p>
    <w:p>
      <w:pPr>
        <w:ind w:left="1340" w:right="739" w:hanging="352"/>
        <w:spacing w:after="0" w:line="268"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40"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In addition, as a Delaware corporation, we will be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42"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us. The existence of these provisions could negatively affect the price of our common stock and limit opportunities for our stockholders to realize value in a corporate transaction.</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6" w:right="1440" w:bottom="1440" w:gutter="0" w:footer="0" w:header="0"/>
        </w:sectPr>
      </w:pPr>
    </w:p>
    <w:bookmarkStart w:id="98" w:name="page99"/>
    <w:bookmarkEnd w:id="98"/>
    <w:p>
      <w:pPr>
        <w:ind w:left="640" w:right="77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designates the state courts of the State of Delaware or, if no state court located within the State of Delaware has jurisdiction, the federal court for the District of Delaware, and the federal district courts of the United States of America to be the exclusive forums for substantially all disputes between us and our stockholders, which could limit our stockholders’ ability to obtain a favorable judicial forum for disputes with us or our directors, officers and employees.</w:t>
      </w:r>
    </w:p>
    <w:p>
      <w:pPr>
        <w:spacing w:after="0" w:line="230"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to the fullest extent permitted by law,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will be the sole and exclusive forum for the following types of actions or proceedings under Delaware statutory or common law: (i) any derivative action or proceeding brought on behalf of us; (ii) any action or proceeding asserting a claim of breach of a fiduciary duty owed by any of our current or former directors, officers or other employees or our stockholders; (iii) any action or proceeding asserting a claim against us or any of our current or former directors, officers or other employees, arising out of or pursuant to any provision of the DGCL, our amended and restated certificate of incorporation or our amended and restated bylaws;</w:t>
      </w:r>
    </w:p>
    <w:p>
      <w:pPr>
        <w:spacing w:after="0" w:line="3" w:lineRule="exact"/>
        <w:rPr>
          <w:sz w:val="20"/>
          <w:szCs w:val="20"/>
          <w:color w:val="auto"/>
        </w:rPr>
      </w:pPr>
    </w:p>
    <w:p>
      <w:pPr>
        <w:ind w:left="640" w:right="819" w:hanging="2"/>
        <w:spacing w:after="0" w:line="261" w:lineRule="auto"/>
        <w:tabs>
          <w:tab w:leader="none" w:pos="88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or proceeding to interpret, apply, enforce or determine the validity of our amended and restated certificate of incorporation or our amended and restated bylaws; (v) any action or proceeding as to which the DGCL confers jurisdiction to the Court of Chancery of the State of Delaware; and (vi) any action asserting a claim against us or any of our directors, officers or other employees, governed by the internal affairs doctrine.</w:t>
      </w:r>
    </w:p>
    <w:p>
      <w:pPr>
        <w:spacing w:after="0" w:line="145" w:lineRule="exact"/>
        <w:rPr>
          <w:sz w:val="20"/>
          <w:szCs w:val="20"/>
          <w:color w:val="auto"/>
        </w:rPr>
      </w:pPr>
    </w:p>
    <w:p>
      <w:pPr>
        <w:ind w:left="640" w:right="699" w:firstLine="351"/>
        <w:spacing w:after="0" w:line="258" w:lineRule="auto"/>
        <w:rPr>
          <w:sz w:val="20"/>
          <w:szCs w:val="20"/>
          <w:color w:val="auto"/>
        </w:rPr>
      </w:pPr>
      <w:r>
        <w:rPr>
          <w:rFonts w:ascii="Times New Roman" w:cs="Times New Roman" w:eastAsia="Times New Roman" w:hAnsi="Times New Roman"/>
          <w:sz w:val="14"/>
          <w:szCs w:val="14"/>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w:t>
      </w:r>
    </w:p>
    <w:p>
      <w:pPr>
        <w:spacing w:after="0" w:line="325"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These exclusive forum provisions may make it more expensive for stockholders to bring a claim than if the stockholders were permitted to select another jurisdiction and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We do not anticipate paying any cash dividends in the foreseeable future.</w:t>
      </w:r>
    </w:p>
    <w:p>
      <w:pPr>
        <w:spacing w:after="0" w:line="101" w:lineRule="exact"/>
        <w:rPr>
          <w:sz w:val="20"/>
          <w:szCs w:val="20"/>
          <w:color w:val="auto"/>
        </w:rPr>
      </w:pPr>
    </w:p>
    <w:p>
      <w:pPr>
        <w:ind w:left="640" w:right="1319" w:firstLine="351"/>
        <w:spacing w:after="0" w:line="292" w:lineRule="auto"/>
        <w:rPr>
          <w:sz w:val="20"/>
          <w:szCs w:val="20"/>
          <w:color w:val="auto"/>
        </w:rPr>
      </w:pPr>
      <w:r>
        <w:rPr>
          <w:rFonts w:ascii="Times New Roman" w:cs="Times New Roman" w:eastAsia="Times New Roman" w:hAnsi="Times New Roman"/>
          <w:sz w:val="14"/>
          <w:szCs w:val="14"/>
          <w:color w:val="auto"/>
        </w:rPr>
        <w:t>We plan to retain our future earnings, if any, to fund the development and growth of our business. As a result, capital appreciation, if any, of our common stock will be our stockholders’ sole source of gain, if any, for the foreseeable future.</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shares by existing stockholders could cause our stock price to decline.</w:t>
      </w:r>
    </w:p>
    <w:p>
      <w:pPr>
        <w:spacing w:after="0" w:line="101" w:lineRule="exact"/>
        <w:rPr>
          <w:sz w:val="20"/>
          <w:szCs w:val="20"/>
          <w:color w:val="auto"/>
        </w:rPr>
      </w:pPr>
    </w:p>
    <w:p>
      <w:pPr>
        <w:jc w:val="both"/>
        <w:ind w:left="640" w:right="759" w:firstLine="351"/>
        <w:spacing w:after="0" w:line="274" w:lineRule="auto"/>
        <w:rPr>
          <w:sz w:val="20"/>
          <w:szCs w:val="20"/>
          <w:color w:val="auto"/>
        </w:rPr>
      </w:pPr>
      <w:r>
        <w:rPr>
          <w:rFonts w:ascii="Times New Roman" w:cs="Times New Roman" w:eastAsia="Times New Roman" w:hAnsi="Times New Roman"/>
          <w:sz w:val="14"/>
          <w:szCs w:val="14"/>
          <w:color w:val="auto"/>
        </w:rPr>
        <w:t>If our existing stockholders sell, or indicate an intention to sell, substantial amounts of our common stock in the public market after any applicable legal restrictions on resale lapse, the trading price of our common stock could decline. We are not able to predict the effect that sales may have on the prevailing market price of our common stock.</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99" w:name="page100"/>
    <w:bookmarkEnd w:id="99"/>
    <w:p>
      <w:pPr>
        <w:ind w:left="640" w:right="7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34" w:lineRule="exact"/>
        <w:rPr>
          <w:sz w:val="20"/>
          <w:szCs w:val="20"/>
          <w:color w:val="auto"/>
        </w:rPr>
      </w:pPr>
    </w:p>
    <w:p>
      <w:pPr>
        <w:ind w:left="640" w:right="739" w:firstLine="351"/>
        <w:spacing w:after="0" w:line="263" w:lineRule="auto"/>
        <w:rPr>
          <w:sz w:val="20"/>
          <w:szCs w:val="20"/>
          <w:color w:val="auto"/>
        </w:rPr>
      </w:pPr>
      <w:r>
        <w:rPr>
          <w:rFonts w:ascii="Times New Roman" w:cs="Times New Roman" w:eastAsia="Times New Roman" w:hAnsi="Times New Roman"/>
          <w:sz w:val="14"/>
          <w:szCs w:val="14"/>
          <w:color w:val="auto"/>
        </w:rPr>
        <w:t>We are an “emerging growth company,” as defined under the Jumpstart Our Business Startups Act (the “JOBS Act”). For so long as we are an “emerging growth company,” we plan to take advantage of certain exemptions from reporting requirements that are applicable to other public companies that are not “emerging growth companies” including, but not limited to, compliance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44" w:lineRule="exact"/>
        <w:rPr>
          <w:sz w:val="20"/>
          <w:szCs w:val="20"/>
          <w:color w:val="auto"/>
        </w:rPr>
      </w:pPr>
    </w:p>
    <w:p>
      <w:pPr>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We cannot predict if investors will find our common stock less attractive, or us less comparable to certain other public companies because we will rely on these exemptions. If some investors find our common stock less attractive as a result, there may be a less active trading market for our common stock and our stock price may be more volatile.</w:t>
      </w:r>
    </w:p>
    <w:p>
      <w:pPr>
        <w:spacing w:after="0" w:line="136" w:lineRule="exact"/>
        <w:rPr>
          <w:sz w:val="20"/>
          <w:szCs w:val="20"/>
          <w:color w:val="auto"/>
        </w:rPr>
      </w:pPr>
    </w:p>
    <w:p>
      <w:pPr>
        <w:jc w:val="both"/>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Under the JOBS Act, “emerging growth companies” can delay adopting new or revised accounting standards issued subsequent to the enactment of the JOBS Act until such time as those standards apply to private companies. We have elected to use this extended transition period under the JOBS Act.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95" w:lineRule="exact"/>
        <w:rPr>
          <w:sz w:val="20"/>
          <w:szCs w:val="20"/>
          <w:color w:val="auto"/>
        </w:rPr>
      </w:pPr>
    </w:p>
    <w:p>
      <w:pPr>
        <w:ind w:left="64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34"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226" w:lineRule="exact"/>
        <w:rPr>
          <w:sz w:val="20"/>
          <w:szCs w:val="20"/>
          <w:color w:val="auto"/>
        </w:rPr>
      </w:pPr>
    </w:p>
    <w:p>
      <w:pPr>
        <w:ind w:left="640" w:right="7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proper and effective internal controls, our ability to produce accurate financial statements on a timely basis could be impaired.</w:t>
      </w:r>
    </w:p>
    <w:p>
      <w:pPr>
        <w:spacing w:after="0" w:line="34" w:lineRule="exact"/>
        <w:rPr>
          <w:sz w:val="20"/>
          <w:szCs w:val="20"/>
          <w:color w:val="auto"/>
        </w:rPr>
      </w:pPr>
    </w:p>
    <w:p>
      <w:pPr>
        <w:ind w:left="640" w:right="779" w:firstLine="351"/>
        <w:spacing w:after="0" w:line="265" w:lineRule="auto"/>
        <w:rPr>
          <w:sz w:val="20"/>
          <w:szCs w:val="20"/>
          <w:color w:val="auto"/>
        </w:rPr>
      </w:pPr>
      <w:r>
        <w:rPr>
          <w:rFonts w:ascii="Times New Roman" w:cs="Times New Roman" w:eastAsia="Times New Roman" w:hAnsi="Times New Roman"/>
          <w:sz w:val="14"/>
          <w:szCs w:val="14"/>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 We must perform system and process evaluation and testing of our internal control over financial reporting to allow management to report on the effectiveness of our internal controls over financial reporting in our Annual Report on Form 10-K filing for that year, as required by Section 404 of the Sarbanes-Oxley Act.</w:t>
      </w:r>
    </w:p>
    <w:p>
      <w:pPr>
        <w:spacing w:after="0" w:line="142"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44"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common stock could decline and we could be subject to sanctions or investigations by Nasdaq, the SEC or other regulatory authorities.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100" w:name="page101"/>
    <w:bookmarkEnd w:id="100"/>
    <w:p>
      <w:pPr>
        <w:ind w:left="64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auto"/>
        </w:rPr>
        <w:t>Use of Proceeds</w:t>
      </w:r>
    </w:p>
    <w:p>
      <w:pPr>
        <w:spacing w:after="0" w:line="99"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On December 3, 2020, Silverback Therapeutics, Inc. (“Silverback”) commenced its initial public offering (“IPO”) pursuant to a registration statement on Form S-1 (File No. 333-250009) that was declared effective by the SEC on December 3, 2020, for 11,500,000 shares of its common stock for sale to the public at a price of $21.00 per share. In addition, in December 2020, the underwriters exercised their over-allotment option to purchase 1,725,000 additional shares of Silverback common stock in the initial public offering at the public offering price of $21.00 per share, such that the aggregate offering price of the IPO was $277.7 million. The net offering proceeds to Silverback, after deducting underwriting discounts and commissions and offering costs, were $255.3 million. No offering expenses were paid directly or indirectly to any of the Silverback directors or officers (or their associates) or persons owning 10% or more of any class of Silverback’s equity securities or to any other affiliates. The underwriters for the Silverback initial public offering were Goldman Sachs &amp; Co. LLC, SVB Leerink LLC, Stifel, Nicolaus &amp; Company, Incorporated, and H.C. Wainwright &amp; Co., LLC.</w:t>
      </w:r>
    </w:p>
    <w:p>
      <w:pPr>
        <w:spacing w:after="0" w:line="320" w:lineRule="exact"/>
        <w:rPr>
          <w:sz w:val="20"/>
          <w:szCs w:val="20"/>
          <w:color w:val="auto"/>
        </w:rPr>
      </w:pPr>
    </w:p>
    <w:p>
      <w:pPr>
        <w:ind w:left="640" w:right="679" w:firstLine="351"/>
        <w:spacing w:after="0" w:line="292" w:lineRule="auto"/>
        <w:rPr>
          <w:sz w:val="20"/>
          <w:szCs w:val="20"/>
          <w:color w:val="auto"/>
        </w:rPr>
      </w:pPr>
      <w:r>
        <w:rPr>
          <w:rFonts w:ascii="Times New Roman" w:cs="Times New Roman" w:eastAsia="Times New Roman" w:hAnsi="Times New Roman"/>
          <w:sz w:val="14"/>
          <w:szCs w:val="14"/>
          <w:color w:val="auto"/>
        </w:rPr>
        <w:t>On November 8, 2022, Silverback completed its reverse merger with privately-held ARS Pharmaceuticals, Inc. On November 9, 2022, the combined company changed its name to ARS Pharmaceuticals, Inc.</w:t>
      </w:r>
    </w:p>
    <w:p>
      <w:pPr>
        <w:spacing w:after="0" w:line="124"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 xml:space="preserve">As of March 31, 2025, total net offering proceeds to Silverback of $255.3 million from the IPO have been used, of which, (i) an estimated $51.7 million was used toward development of Silverback’s product candidates, (ii) $0.8 million was used to repay outstanding indebtedness, (iii) $16.0 million was used for transaction costs related to the Merger, including $7.0 million in severance and change in control benefit payments made to Silverback’s former officers, (iv) an estimated $65.7 million was used for development and pre-commercial launch activities related to </w:t>
      </w:r>
      <w:r>
        <w:rPr>
          <w:rFonts w:ascii="Times New Roman" w:cs="Times New Roman" w:eastAsia="Times New Roman" w:hAnsi="Times New Roman"/>
          <w:sz w:val="14"/>
          <w:szCs w:val="14"/>
          <w:i w:val="1"/>
          <w:iCs w:val="1"/>
          <w:color w:val="auto"/>
        </w:rPr>
        <w:t>neffy</w:t>
      </w:r>
      <w:r>
        <w:rPr>
          <w:rFonts w:ascii="Times New Roman" w:cs="Times New Roman" w:eastAsia="Times New Roman" w:hAnsi="Times New Roman"/>
          <w:sz w:val="14"/>
          <w:szCs w:val="14"/>
          <w:color w:val="auto"/>
        </w:rPr>
        <w:t>, (v) an estimated $78.6 million was used for working capital and general corporate purposes, and (vi) an estimated $42.5 million was used for commercial-related activities.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101" w:name="page102"/>
    <w:bookmarkEnd w:id="101"/>
    <w:p>
      <w:pPr>
        <w:ind w:left="64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86"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2120" w:type="dxa"/>
            <w:vAlign w:val="bottom"/>
          </w:tcPr>
          <w:p>
            <w:pPr>
              <w:jc w:val="center"/>
              <w:ind w:right="1663"/>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280" w:type="dxa"/>
            <w:vAlign w:val="bottom"/>
            <w:vMerge w:val="restart"/>
          </w:tcPr>
          <w:p>
            <w:pPr>
              <w:ind w:left="170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0"/>
        </w:trPr>
        <w:tc>
          <w:tcPr>
            <w:tcW w:w="2120" w:type="dxa"/>
            <w:vAlign w:val="bottom"/>
          </w:tcPr>
          <w:p>
            <w:pPr>
              <w:jc w:val="center"/>
              <w:ind w:right="1643"/>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-6985</wp:posOffset>
            </wp:positionV>
            <wp:extent cx="490982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909820" cy="6985"/>
                    </a:xfrm>
                    <a:prstGeom prst="rect">
                      <a:avLst/>
                    </a:prstGeom>
                    <a:noFill/>
                  </pic:spPr>
                </pic:pic>
              </a:graphicData>
            </a:graphic>
          </wp:anchor>
        </w:drawing>
      </w:r>
    </w:p>
    <w:p>
      <w:pPr>
        <w:ind w:left="1260" w:right="659" w:hanging="622"/>
        <w:spacing w:after="0" w:line="254" w:lineRule="auto"/>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3.1</w:t>
      </w:r>
      <w:r>
        <w:rPr>
          <w:sz w:val="20"/>
          <w:szCs w:val="20"/>
          <w:color w:val="auto"/>
        </w:rPr>
        <w:tab/>
      </w:r>
      <w:hyperlink r:id="rId252">
        <w:r>
          <w:rPr>
            <w:rFonts w:ascii="Times New Roman" w:cs="Times New Roman" w:eastAsia="Times New Roman" w:hAnsi="Times New Roman"/>
            <w:sz w:val="14"/>
            <w:szCs w:val="14"/>
            <w:u w:val="single" w:color="auto"/>
            <w:color w:val="0000FF"/>
          </w:rPr>
          <w:t>Amended and Restated Certificate of Incorporation, as amended (incorporated by reference to Exhibit 3.1 to the registrant’s</w:t>
        </w:r>
      </w:hyperlink>
      <w:r>
        <w:rPr>
          <w:rFonts w:ascii="Times New Roman" w:cs="Times New Roman" w:eastAsia="Times New Roman" w:hAnsi="Times New Roman"/>
          <w:sz w:val="14"/>
          <w:szCs w:val="14"/>
          <w:u w:val="single" w:color="auto"/>
          <w:color w:val="0000FF"/>
        </w:rPr>
        <w:t xml:space="preserve"> </w:t>
      </w:r>
      <w:hyperlink r:id="rId252">
        <w:r>
          <w:rPr>
            <w:rFonts w:ascii="Times New Roman" w:cs="Times New Roman" w:eastAsia="Times New Roman" w:hAnsi="Times New Roman"/>
            <w:sz w:val="14"/>
            <w:szCs w:val="14"/>
            <w:u w:val="single" w:color="auto"/>
            <w:color w:val="0000FF"/>
          </w:rPr>
          <w:t>Annual Report on Form 10-K, filed with the SEC on March 23,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-127635</wp:posOffset>
            </wp:positionV>
            <wp:extent cx="450786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4507865" cy="698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-19050</wp:posOffset>
            </wp:positionV>
            <wp:extent cx="256730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2567305" cy="6985"/>
                    </a:xfrm>
                    <a:prstGeom prst="rect">
                      <a:avLst/>
                    </a:prstGeom>
                    <a:noFill/>
                  </pic:spPr>
                </pic:pic>
              </a:graphicData>
            </a:graphic>
          </wp:anchor>
        </w:drawing>
      </w:r>
    </w:p>
    <w:p>
      <w:pPr>
        <w:ind w:left="1260" w:right="839" w:hanging="622"/>
        <w:spacing w:after="0" w:line="256" w:lineRule="auto"/>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3.2</w:t>
      </w:r>
      <w:r>
        <w:rPr>
          <w:sz w:val="20"/>
          <w:szCs w:val="20"/>
          <w:color w:val="auto"/>
        </w:rPr>
        <w:tab/>
      </w:r>
      <w:hyperlink r:id="rId255">
        <w:r>
          <w:rPr>
            <w:rFonts w:ascii="Times New Roman" w:cs="Times New Roman" w:eastAsia="Times New Roman" w:hAnsi="Times New Roman"/>
            <w:sz w:val="14"/>
            <w:szCs w:val="14"/>
            <w:u w:val="single" w:color="auto"/>
            <w:color w:val="0000FF"/>
          </w:rPr>
          <w:t>Amended and Restated Bylaws (incorporated by reference to Exhibit 3.2 to the registrant’s Current Report on Form 8-K,</w:t>
        </w:r>
      </w:hyperlink>
      <w:r>
        <w:rPr>
          <w:rFonts w:ascii="Times New Roman" w:cs="Times New Roman" w:eastAsia="Times New Roman" w:hAnsi="Times New Roman"/>
          <w:sz w:val="14"/>
          <w:szCs w:val="14"/>
          <w:u w:val="single" w:color="auto"/>
          <w:color w:val="0000FF"/>
        </w:rPr>
        <w:t xml:space="preserve"> </w:t>
      </w:r>
      <w:hyperlink r:id="rId255">
        <w:r>
          <w:rPr>
            <w:rFonts w:ascii="Times New Roman" w:cs="Times New Roman" w:eastAsia="Times New Roman" w:hAnsi="Times New Roman"/>
            <w:sz w:val="14"/>
            <w:szCs w:val="14"/>
            <w:u w:val="single" w:color="auto"/>
            <w:color w:val="0000FF"/>
          </w:rPr>
          <w:t>filed with the SEC on December 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-128270</wp:posOffset>
            </wp:positionV>
            <wp:extent cx="441706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4417060" cy="698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-19050</wp:posOffset>
            </wp:positionV>
            <wp:extent cx="1532255"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1532255" cy="6985"/>
                    </a:xfrm>
                    <a:prstGeom prst="rect">
                      <a:avLst/>
                    </a:prstGeom>
                    <a:noFill/>
                  </pic:spPr>
                </pic:pic>
              </a:graphicData>
            </a:graphic>
          </wp:anchor>
        </w:drawing>
      </w:r>
    </w:p>
    <w:p>
      <w:pPr>
        <w:ind w:left="640"/>
        <w:spacing w:after="0"/>
        <w:tabs>
          <w:tab w:leader="none" w:pos="1240" w:val="left"/>
        </w:tabs>
        <w:rPr>
          <w:sz w:val="20"/>
          <w:szCs w:val="20"/>
          <w:color w:val="auto"/>
        </w:rPr>
      </w:pP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4"/>
          <w:szCs w:val="14"/>
          <w:u w:val="single" w:color="auto"/>
          <w:color w:val="0000FF"/>
        </w:rPr>
        <w:t>Amended and Restated Non-Employee Director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-12065</wp:posOffset>
            </wp:positionV>
            <wp:extent cx="2549525"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2549525" cy="6985"/>
                    </a:xfrm>
                    <a:prstGeom prst="rect">
                      <a:avLst/>
                    </a:prstGeom>
                    <a:noFill/>
                  </pic:spPr>
                </pic:pic>
              </a:graphicData>
            </a:graphic>
          </wp:anchor>
        </w:drawing>
      </w:r>
    </w:p>
    <w:p>
      <w:pPr>
        <w:ind w:left="1260" w:right="779" w:hanging="622"/>
        <w:spacing w:after="0" w:line="256" w:lineRule="auto"/>
        <w:tabs>
          <w:tab w:leader="none" w:pos="1240" w:val="left"/>
        </w:tabs>
        <w:rPr>
          <w:sz w:val="20"/>
          <w:szCs w:val="20"/>
          <w:color w:val="auto"/>
        </w:rPr>
      </w:pPr>
      <w:r>
        <w:rPr>
          <w:rFonts w:ascii="Times New Roman" w:cs="Times New Roman" w:eastAsia="Times New Roman" w:hAnsi="Times New Roman"/>
          <w:sz w:val="14"/>
          <w:szCs w:val="14"/>
          <w:color w:val="auto"/>
        </w:rPr>
        <w:t>31.1</w:t>
      </w:r>
      <w:r>
        <w:rPr>
          <w:sz w:val="20"/>
          <w:szCs w:val="20"/>
          <w:color w:val="auto"/>
        </w:rPr>
        <w:tab/>
      </w:r>
      <w:r>
        <w:rPr>
          <w:rFonts w:ascii="Times New Roman" w:cs="Times New Roman" w:eastAsia="Times New Roman" w:hAnsi="Times New Roman"/>
          <w:sz w:val="14"/>
          <w:szCs w:val="14"/>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-128270</wp:posOffset>
            </wp:positionV>
            <wp:extent cx="4457065"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4457065" cy="698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-19050</wp:posOffset>
            </wp:positionV>
            <wp:extent cx="2940685"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2940685" cy="6985"/>
                    </a:xfrm>
                    <a:prstGeom prst="rect">
                      <a:avLst/>
                    </a:prstGeom>
                    <a:noFill/>
                  </pic:spPr>
                </pic:pic>
              </a:graphicData>
            </a:graphic>
          </wp:anchor>
        </w:drawing>
      </w:r>
    </w:p>
    <w:p>
      <w:pPr>
        <w:ind w:left="640"/>
        <w:spacing w:after="0"/>
        <w:tabs>
          <w:tab w:leader="none" w:pos="1240" w:val="left"/>
        </w:tabs>
        <w:rPr>
          <w:sz w:val="20"/>
          <w:szCs w:val="20"/>
          <w:color w:val="auto"/>
        </w:rPr>
      </w:pPr>
      <w:r>
        <w:rPr>
          <w:rFonts w:ascii="Times New Roman" w:cs="Times New Roman" w:eastAsia="Times New Roman" w:hAnsi="Times New Roman"/>
          <w:sz w:val="14"/>
          <w:szCs w:val="14"/>
          <w:color w:val="auto"/>
        </w:rPr>
        <w:t>31.2</w:t>
      </w:r>
      <w:r>
        <w:rPr>
          <w:sz w:val="20"/>
          <w:szCs w:val="20"/>
          <w:color w:val="auto"/>
        </w:rPr>
        <w:tab/>
      </w:r>
      <w:r>
        <w:rPr>
          <w:rFonts w:ascii="Times New Roman" w:cs="Times New Roman" w:eastAsia="Times New Roman" w:hAnsi="Times New Roman"/>
          <w:sz w:val="14"/>
          <w:szCs w:val="14"/>
          <w:u w:val="single" w:color="auto"/>
          <w:color w:val="0000FF"/>
        </w:rPr>
        <w:t>Certification of Principal Financial Officer Pursuant to Rules 13a-14(a) and 15d-14(a) under the Securities Exchange Act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-12065</wp:posOffset>
            </wp:positionV>
            <wp:extent cx="4507865"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4507865" cy="698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4"/>
          <w:szCs w:val="14"/>
          <w:u w:val="single" w:color="auto"/>
          <w:color w:val="0000FF"/>
        </w:rPr>
        <w:t>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-12065</wp:posOffset>
            </wp:positionV>
            <wp:extent cx="284226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2842260" cy="6985"/>
                    </a:xfrm>
                    <a:prstGeom prst="rect">
                      <a:avLst/>
                    </a:prstGeom>
                    <a:noFill/>
                  </pic:spPr>
                </pic:pic>
              </a:graphicData>
            </a:graphic>
          </wp:anchor>
        </w:drawing>
      </w:r>
    </w:p>
    <w:p>
      <w:pPr>
        <w:ind w:left="1260" w:right="919" w:hanging="622"/>
        <w:spacing w:after="0" w:line="256" w:lineRule="auto"/>
        <w:tabs>
          <w:tab w:leader="none" w:pos="1240" w:val="left"/>
        </w:tabs>
        <w:rPr>
          <w:sz w:val="20"/>
          <w:szCs w:val="20"/>
          <w:color w:val="auto"/>
        </w:rPr>
      </w:pPr>
      <w:r>
        <w:rPr>
          <w:rFonts w:ascii="Times New Roman" w:cs="Times New Roman" w:eastAsia="Times New Roman" w:hAnsi="Times New Roman"/>
          <w:sz w:val="14"/>
          <w:szCs w:val="14"/>
          <w:color w:val="auto"/>
        </w:rPr>
        <w:t>32.1#</w:t>
      </w:r>
      <w:r>
        <w:rPr>
          <w:sz w:val="20"/>
          <w:szCs w:val="20"/>
          <w:color w:val="auto"/>
        </w:rPr>
        <w:tab/>
      </w:r>
      <w:r>
        <w:rPr>
          <w:rFonts w:ascii="Times New Roman" w:cs="Times New Roman" w:eastAsia="Times New Roman" w:hAnsi="Times New Roman"/>
          <w:sz w:val="14"/>
          <w:szCs w:val="14"/>
          <w:u w:val="single" w:color="auto"/>
          <w:color w:val="0000FF"/>
        </w:rPr>
        <w:t>Certification of Principal Executive and Financial Officers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-128270</wp:posOffset>
            </wp:positionV>
            <wp:extent cx="4359275"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4359275" cy="698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-19050</wp:posOffset>
            </wp:positionV>
            <wp:extent cx="1746885"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1746885" cy="6985"/>
                    </a:xfrm>
                    <a:prstGeom prst="rect">
                      <a:avLst/>
                    </a:prstGeom>
                    <a:noFill/>
                  </pic:spPr>
                </pic:pic>
              </a:graphicData>
            </a:graphic>
          </wp:anchor>
        </w:drawing>
      </w:r>
    </w:p>
    <w:p>
      <w:pPr>
        <w:ind w:left="1260" w:right="779" w:hanging="622"/>
        <w:spacing w:after="0" w:line="256" w:lineRule="auto"/>
        <w:tabs>
          <w:tab w:leader="none" w:pos="1240" w:val="left"/>
        </w:tabs>
        <w:rPr>
          <w:sz w:val="20"/>
          <w:szCs w:val="20"/>
          <w:color w:val="auto"/>
        </w:rPr>
      </w:pPr>
      <w:r>
        <w:rPr>
          <w:rFonts w:ascii="Times New Roman" w:cs="Times New Roman" w:eastAsia="Times New Roman" w:hAnsi="Times New Roman"/>
          <w:sz w:val="14"/>
          <w:szCs w:val="14"/>
          <w:color w:val="auto"/>
        </w:rPr>
        <w:t>101.INS</w:t>
        <w:tab/>
        <w:t>Inline XBRL Instance Document–the instance document does not appear in the Interactive Data File as its XBRL tags are embedded within the Inline XBRL document</w:t>
      </w:r>
    </w:p>
    <w:p>
      <w:pPr>
        <w:ind w:left="640"/>
        <w:spacing w:after="0"/>
        <w:rPr>
          <w:sz w:val="20"/>
          <w:szCs w:val="20"/>
          <w:color w:val="auto"/>
        </w:rPr>
      </w:pPr>
      <w:r>
        <w:rPr>
          <w:rFonts w:ascii="Times New Roman" w:cs="Times New Roman" w:eastAsia="Times New Roman" w:hAnsi="Times New Roman"/>
          <w:sz w:val="14"/>
          <w:szCs w:val="14"/>
          <w:color w:val="auto"/>
        </w:rPr>
        <w:t>101.SCH  Inline XBRL Taxonomy Extension Schema With Embedded Linkbase Documents</w:t>
      </w:r>
    </w:p>
    <w:p>
      <w:pPr>
        <w:spacing w:after="0" w:line="11" w:lineRule="exact"/>
        <w:rPr>
          <w:sz w:val="20"/>
          <w:szCs w:val="20"/>
          <w:color w:val="auto"/>
        </w:rPr>
      </w:pPr>
    </w:p>
    <w:p>
      <w:pPr>
        <w:ind w:left="640" w:right="3879" w:hanging="2"/>
        <w:spacing w:after="0" w:line="374" w:lineRule="auto"/>
        <w:tabs>
          <w:tab w:leader="none" w:pos="126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formatted as Inline XBRL and contained in Exhibit 101 + Indicates management contract or compensatory plan.</w:t>
      </w:r>
    </w:p>
    <w:p>
      <w:pPr>
        <w:ind w:left="820" w:right="699" w:hanging="182"/>
        <w:spacing w:after="0" w:line="268" w:lineRule="auto"/>
        <w:tabs>
          <w:tab w:leader="none" w:pos="931"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in Exhibit 32.1 shall not be deemed “filed” for purposes of Section 18 of the Exchange Act, or otherwise subject to the liabilities of that section, nor shall it be deemed incorporated by reference in any filing under the Securities Act or the Exchange Act (including this Quarterly Report on Form 10-Q), unless the Registrant specifically incorporates the foregoing information into those documents by reference.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9" w:lineRule="exact"/>
        <w:rPr>
          <w:sz w:val="20"/>
          <w:szCs w:val="20"/>
          <w:color w:val="auto"/>
        </w:rPr>
      </w:pPr>
    </w:p>
    <w:p>
      <w:pPr>
        <w:ind w:left="640" w:right="819" w:firstLine="351"/>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36"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2960" w:type="dxa"/>
            <w:vAlign w:val="bottom"/>
          </w:tcPr>
          <w:p>
            <w:pPr>
              <w:spacing w:after="0"/>
              <w:rPr>
                <w:sz w:val="16"/>
                <w:szCs w:val="16"/>
                <w:color w:val="auto"/>
              </w:rPr>
            </w:pPr>
          </w:p>
        </w:tc>
        <w:tc>
          <w:tcPr>
            <w:tcW w:w="582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ARS PHARMACEUTICALS, INC.</w:t>
            </w:r>
          </w:p>
        </w:tc>
      </w:tr>
      <w:tr>
        <w:trPr>
          <w:trHeight w:val="355"/>
        </w:trPr>
        <w:tc>
          <w:tcPr>
            <w:tcW w:w="29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Date: May 14, 2025</w:t>
            </w:r>
          </w:p>
        </w:tc>
        <w:tc>
          <w:tcPr>
            <w:tcW w:w="5820" w:type="dxa"/>
            <w:vAlign w:val="bottom"/>
            <w:gridSpan w:val="3"/>
          </w:tcPr>
          <w:p>
            <w:pPr>
              <w:ind w:left="1580"/>
              <w:spacing w:after="0"/>
              <w:rPr>
                <w:sz w:val="20"/>
                <w:szCs w:val="20"/>
                <w:color w:val="auto"/>
              </w:rPr>
            </w:pPr>
            <w:r>
              <w:rPr>
                <w:rFonts w:ascii="Times New Roman" w:cs="Times New Roman" w:eastAsia="Times New Roman" w:hAnsi="Times New Roman"/>
                <w:sz w:val="14"/>
                <w:szCs w:val="14"/>
                <w:color w:val="auto"/>
              </w:rPr>
              <w:t>By: /s/ Richard Lowenthal, M.S., MSEL</w:t>
            </w:r>
          </w:p>
        </w:tc>
      </w:tr>
      <w:tr>
        <w:trPr>
          <w:trHeight w:val="148"/>
        </w:trPr>
        <w:tc>
          <w:tcPr>
            <w:tcW w:w="29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48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rPr>
              <w:t>Richard Lowenthal, M.S., MSEL</w:t>
            </w:r>
          </w:p>
        </w:tc>
        <w:tc>
          <w:tcPr>
            <w:tcW w:w="520" w:type="dxa"/>
            <w:vAlign w:val="bottom"/>
          </w:tcPr>
          <w:p>
            <w:pPr>
              <w:spacing w:after="0"/>
              <w:rPr>
                <w:sz w:val="12"/>
                <w:szCs w:val="12"/>
                <w:color w:val="auto"/>
              </w:rPr>
            </w:pPr>
          </w:p>
        </w:tc>
      </w:tr>
      <w:tr>
        <w:trPr>
          <w:trHeight w:val="172"/>
        </w:trPr>
        <w:tc>
          <w:tcPr>
            <w:tcW w:w="29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29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516"/>
        </w:trPr>
        <w:tc>
          <w:tcPr>
            <w:tcW w:w="29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Date: May 14, 2025</w:t>
            </w:r>
          </w:p>
        </w:tc>
        <w:tc>
          <w:tcPr>
            <w:tcW w:w="5820" w:type="dxa"/>
            <w:vAlign w:val="bottom"/>
            <w:gridSpan w:val="3"/>
          </w:tcPr>
          <w:p>
            <w:pPr>
              <w:ind w:left="1580"/>
              <w:spacing w:after="0"/>
              <w:rPr>
                <w:sz w:val="20"/>
                <w:szCs w:val="20"/>
                <w:color w:val="auto"/>
              </w:rPr>
            </w:pPr>
            <w:r>
              <w:rPr>
                <w:rFonts w:ascii="Times New Roman" w:cs="Times New Roman" w:eastAsia="Times New Roman" w:hAnsi="Times New Roman"/>
                <w:sz w:val="14"/>
                <w:szCs w:val="14"/>
                <w:color w:val="auto"/>
              </w:rPr>
              <w:t>By: /s/ Kathleen D. Scott</w:t>
            </w:r>
          </w:p>
        </w:tc>
      </w:tr>
      <w:tr>
        <w:trPr>
          <w:trHeight w:val="148"/>
        </w:trPr>
        <w:tc>
          <w:tcPr>
            <w:tcW w:w="29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48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rPr>
              <w:t>Kathleen D. Scott</w:t>
            </w:r>
          </w:p>
        </w:tc>
        <w:tc>
          <w:tcPr>
            <w:tcW w:w="520" w:type="dxa"/>
            <w:vAlign w:val="bottom"/>
          </w:tcPr>
          <w:p>
            <w:pPr>
              <w:spacing w:after="0"/>
              <w:rPr>
                <w:sz w:val="12"/>
                <w:szCs w:val="12"/>
                <w:color w:val="auto"/>
              </w:rPr>
            </w:pPr>
          </w:p>
        </w:tc>
      </w:tr>
      <w:tr>
        <w:trPr>
          <w:trHeight w:val="172"/>
        </w:trPr>
        <w:tc>
          <w:tcPr>
            <w:tcW w:w="29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6"/>
        </w:trPr>
        <w:tc>
          <w:tcPr>
            <w:tcW w:w="29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r>
      <w:tr>
        <w:trPr>
          <w:trHeight w:val="601"/>
        </w:trPr>
        <w:tc>
          <w:tcPr>
            <w:tcW w:w="2960" w:type="dxa"/>
            <w:vAlign w:val="bottom"/>
          </w:tcPr>
          <w:p>
            <w:pPr>
              <w:spacing w:after="0"/>
              <w:rPr>
                <w:sz w:val="24"/>
                <w:szCs w:val="24"/>
                <w:color w:val="auto"/>
              </w:rPr>
            </w:pPr>
          </w:p>
        </w:tc>
        <w:tc>
          <w:tcPr>
            <w:tcW w:w="18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102</w:t>
            </w:r>
          </w:p>
        </w:tc>
        <w:tc>
          <w:tcPr>
            <w:tcW w:w="34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29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102" w:name="page103"/>
    <w:bookmarkEnd w:id="102"/>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ARS Pharmaceuticals,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Non-Employee Director Compensation Policy</w:t>
      </w:r>
    </w:p>
    <w:p>
      <w:pPr>
        <w:jc w:val="center"/>
        <w:spacing w:after="0"/>
        <w:rPr>
          <w:sz w:val="20"/>
          <w:szCs w:val="20"/>
          <w:color w:val="auto"/>
        </w:rPr>
      </w:pPr>
      <w:r>
        <w:rPr>
          <w:rFonts w:ascii="Times New Roman" w:cs="Times New Roman" w:eastAsia="Times New Roman" w:hAnsi="Times New Roman"/>
          <w:sz w:val="16"/>
          <w:szCs w:val="16"/>
          <w:b w:val="1"/>
          <w:bCs w:val="1"/>
          <w:color w:val="auto"/>
        </w:rPr>
        <w:t>Amended Effective: April 1, 2025</w:t>
      </w:r>
    </w:p>
    <w:p>
      <w:pPr>
        <w:spacing w:after="0" w:line="148" w:lineRule="exact"/>
        <w:rPr>
          <w:sz w:val="20"/>
          <w:szCs w:val="20"/>
          <w:color w:val="auto"/>
        </w:rPr>
      </w:pPr>
    </w:p>
    <w:p>
      <w:pPr>
        <w:ind w:left="640" w:right="699"/>
        <w:spacing w:after="0" w:line="264" w:lineRule="auto"/>
        <w:rPr>
          <w:sz w:val="20"/>
          <w:szCs w:val="20"/>
          <w:color w:val="auto"/>
        </w:rPr>
      </w:pPr>
      <w:r>
        <w:rPr>
          <w:rFonts w:ascii="Times New Roman" w:cs="Times New Roman" w:eastAsia="Times New Roman" w:hAnsi="Times New Roman"/>
          <w:sz w:val="15"/>
          <w:szCs w:val="15"/>
          <w:color w:val="auto"/>
        </w:rPr>
        <w:t>Each member of the Board of Directors (the “</w:t>
      </w:r>
      <w:r>
        <w:rPr>
          <w:rFonts w:ascii="Times New Roman" w:cs="Times New Roman" w:eastAsia="Times New Roman" w:hAnsi="Times New Roman"/>
          <w:sz w:val="15"/>
          <w:szCs w:val="15"/>
          <w:b w:val="1"/>
          <w:bCs w:val="1"/>
          <w:i w:val="1"/>
          <w:iCs w:val="1"/>
          <w:color w:val="auto"/>
        </w:rPr>
        <w:t>Board</w:t>
      </w:r>
      <w:r>
        <w:rPr>
          <w:rFonts w:ascii="Times New Roman" w:cs="Times New Roman" w:eastAsia="Times New Roman" w:hAnsi="Times New Roman"/>
          <w:sz w:val="15"/>
          <w:szCs w:val="15"/>
          <w:color w:val="auto"/>
        </w:rPr>
        <w:t>”) who is not also serving as an employee of ARS Pharmaceuticals, Inc.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or any of its subsidiaries (each such member, an “</w:t>
      </w:r>
      <w:r>
        <w:rPr>
          <w:rFonts w:ascii="Times New Roman" w:cs="Times New Roman" w:eastAsia="Times New Roman" w:hAnsi="Times New Roman"/>
          <w:sz w:val="15"/>
          <w:szCs w:val="15"/>
          <w:b w:val="1"/>
          <w:bCs w:val="1"/>
          <w:i w:val="1"/>
          <w:iCs w:val="1"/>
          <w:color w:val="auto"/>
        </w:rPr>
        <w:t>Eligible Director</w:t>
      </w:r>
      <w:r>
        <w:rPr>
          <w:rFonts w:ascii="Times New Roman" w:cs="Times New Roman" w:eastAsia="Times New Roman" w:hAnsi="Times New Roman"/>
          <w:sz w:val="15"/>
          <w:szCs w:val="15"/>
          <w:color w:val="auto"/>
        </w:rPr>
        <w:t>”) will receive the compensation described in this Non-Employee Director Compensation Policy for his or her Board service. An Eligible Director may decline all or any portion of his or her compensation by giving notice to the Company prior to the date cash may be paid or equity awards are to be granted, as the case may be. This policy is effective as of April 1, 2025 (the “</w:t>
      </w:r>
      <w:r>
        <w:rPr>
          <w:rFonts w:ascii="Times New Roman" w:cs="Times New Roman" w:eastAsia="Times New Roman" w:hAnsi="Times New Roman"/>
          <w:sz w:val="15"/>
          <w:szCs w:val="15"/>
          <w:b w:val="1"/>
          <w:bCs w:val="1"/>
          <w:i w:val="1"/>
          <w:iCs w:val="1"/>
          <w:color w:val="auto"/>
        </w:rPr>
        <w:t>Effective Date</w:t>
      </w:r>
      <w:r>
        <w:rPr>
          <w:rFonts w:ascii="Times New Roman" w:cs="Times New Roman" w:eastAsia="Times New Roman" w:hAnsi="Times New Roman"/>
          <w:sz w:val="15"/>
          <w:szCs w:val="15"/>
          <w:color w:val="auto"/>
        </w:rPr>
        <w:t>”) and may be amended at any time in the sole discretion of the Board or the Compensation Committee of the Board.</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Annual Cash Compensation</w:t>
      </w:r>
    </w:p>
    <w:p>
      <w:pPr>
        <w:spacing w:after="0" w:line="172" w:lineRule="exact"/>
        <w:rPr>
          <w:sz w:val="20"/>
          <w:szCs w:val="20"/>
          <w:color w:val="auto"/>
        </w:rPr>
      </w:pPr>
    </w:p>
    <w:p>
      <w:pPr>
        <w:ind w:left="640" w:right="719"/>
        <w:spacing w:after="0" w:line="243" w:lineRule="auto"/>
        <w:rPr>
          <w:sz w:val="20"/>
          <w:szCs w:val="20"/>
          <w:color w:val="auto"/>
        </w:rPr>
      </w:pPr>
      <w:r>
        <w:rPr>
          <w:rFonts w:ascii="Times New Roman" w:cs="Times New Roman" w:eastAsia="Times New Roman" w:hAnsi="Times New Roman"/>
          <w:sz w:val="16"/>
          <w:szCs w:val="16"/>
          <w:color w:val="auto"/>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the last day of the first fiscal quarter in which the Eligible Director provides the service and regular full quarterly payments thereafter. All annual cash fees are vested upon payment.</w:t>
      </w:r>
    </w:p>
    <w:p>
      <w:pPr>
        <w:spacing w:after="0" w:line="150" w:lineRule="exact"/>
        <w:rPr>
          <w:sz w:val="20"/>
          <w:szCs w:val="20"/>
          <w:color w:val="auto"/>
        </w:rPr>
      </w:pPr>
    </w:p>
    <w:p>
      <w:pPr>
        <w:ind w:left="1340" w:hanging="352"/>
        <w:spacing w:after="0"/>
        <w:tabs>
          <w:tab w:leader="none" w:pos="1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Board Service Retainer:</w:t>
      </w:r>
    </w:p>
    <w:p>
      <w:pPr>
        <w:spacing w:after="0" w:line="16" w:lineRule="exact"/>
        <w:rPr>
          <w:rFonts w:ascii="Times New Roman" w:cs="Times New Roman" w:eastAsia="Times New Roman" w:hAnsi="Times New Roman"/>
          <w:sz w:val="16"/>
          <w:szCs w:val="16"/>
          <w:color w:val="auto"/>
        </w:rPr>
      </w:pPr>
    </w:p>
    <w:p>
      <w:pPr>
        <w:ind w:left="1680" w:hanging="341"/>
        <w:spacing w:after="0" w:line="238" w:lineRule="auto"/>
        <w:tabs>
          <w:tab w:leader="none" w:pos="168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Eligible Directors: $50,000</w:t>
      </w:r>
    </w:p>
    <w:p>
      <w:pPr>
        <w:ind w:left="1680" w:hanging="341"/>
        <w:spacing w:after="0"/>
        <w:tabs>
          <w:tab w:leader="none" w:pos="168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the Board Service Retainer (in addition to Eligible Director Service Retainer): $35,000</w:t>
      </w:r>
    </w:p>
    <w:p>
      <w:pPr>
        <w:spacing w:after="0" w:line="152" w:lineRule="exact"/>
        <w:rPr>
          <w:rFonts w:ascii="Times New Roman" w:cs="Times New Roman" w:eastAsia="Times New Roman" w:hAnsi="Times New Roman"/>
          <w:sz w:val="16"/>
          <w:szCs w:val="16"/>
          <w:color w:val="auto"/>
        </w:rPr>
      </w:pPr>
    </w:p>
    <w:p>
      <w:pPr>
        <w:ind w:left="1340" w:hanging="352"/>
        <w:spacing w:after="0"/>
        <w:tabs>
          <w:tab w:leader="none" w:pos="1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Committee Chair Service Retainer:</w:t>
      </w:r>
    </w:p>
    <w:p>
      <w:pPr>
        <w:spacing w:after="0" w:line="16" w:lineRule="exact"/>
        <w:rPr>
          <w:rFonts w:ascii="Times New Roman" w:cs="Times New Roman" w:eastAsia="Times New Roman" w:hAnsi="Times New Roman"/>
          <w:sz w:val="16"/>
          <w:szCs w:val="16"/>
          <w:color w:val="auto"/>
        </w:rPr>
      </w:pPr>
    </w:p>
    <w:p>
      <w:pPr>
        <w:ind w:left="1680" w:hanging="341"/>
        <w:spacing w:after="0" w:line="238" w:lineRule="auto"/>
        <w:tabs>
          <w:tab w:leader="none" w:pos="168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the Audit Committee: $20,000</w:t>
      </w:r>
    </w:p>
    <w:p>
      <w:pPr>
        <w:ind w:left="1680" w:hanging="341"/>
        <w:spacing w:after="0" w:line="238" w:lineRule="auto"/>
        <w:tabs>
          <w:tab w:leader="none" w:pos="168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the Commercial Committee: $20,000</w:t>
      </w:r>
    </w:p>
    <w:p>
      <w:pPr>
        <w:ind w:left="1680" w:hanging="341"/>
        <w:spacing w:after="0" w:line="238" w:lineRule="auto"/>
        <w:tabs>
          <w:tab w:leader="none" w:pos="168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the Compensation Committee: $15,000</w:t>
      </w:r>
    </w:p>
    <w:p>
      <w:pPr>
        <w:ind w:left="1680" w:hanging="341"/>
        <w:spacing w:after="0"/>
        <w:tabs>
          <w:tab w:leader="none" w:pos="168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the Nominating and Corporate Governance Committee: $15,000</w:t>
      </w:r>
    </w:p>
    <w:p>
      <w:pPr>
        <w:spacing w:after="0" w:line="152" w:lineRule="exact"/>
        <w:rPr>
          <w:rFonts w:ascii="Times New Roman" w:cs="Times New Roman" w:eastAsia="Times New Roman" w:hAnsi="Times New Roman"/>
          <w:sz w:val="16"/>
          <w:szCs w:val="16"/>
          <w:color w:val="auto"/>
        </w:rPr>
      </w:pPr>
    </w:p>
    <w:p>
      <w:pPr>
        <w:ind w:left="1340" w:hanging="352"/>
        <w:spacing w:after="0"/>
        <w:tabs>
          <w:tab w:leader="none" w:pos="1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Committee Member Service Retainer (not applicable to Committee Chairs):</w:t>
      </w:r>
    </w:p>
    <w:p>
      <w:pPr>
        <w:spacing w:after="0" w:line="16" w:lineRule="exact"/>
        <w:rPr>
          <w:rFonts w:ascii="Times New Roman" w:cs="Times New Roman" w:eastAsia="Times New Roman" w:hAnsi="Times New Roman"/>
          <w:sz w:val="16"/>
          <w:szCs w:val="16"/>
          <w:color w:val="auto"/>
        </w:rPr>
      </w:pPr>
    </w:p>
    <w:p>
      <w:pPr>
        <w:ind w:left="1680" w:hanging="341"/>
        <w:spacing w:after="0" w:line="238" w:lineRule="auto"/>
        <w:tabs>
          <w:tab w:leader="none" w:pos="168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Committee: $10,000</w:t>
      </w:r>
    </w:p>
    <w:p>
      <w:pPr>
        <w:ind w:left="1680" w:hanging="341"/>
        <w:spacing w:after="0" w:line="238" w:lineRule="auto"/>
        <w:tabs>
          <w:tab w:leader="none" w:pos="168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Commercial Committee: $10,000</w:t>
      </w:r>
    </w:p>
    <w:p>
      <w:pPr>
        <w:ind w:left="1680" w:hanging="341"/>
        <w:spacing w:after="0" w:line="238" w:lineRule="auto"/>
        <w:tabs>
          <w:tab w:leader="none" w:pos="168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Committee: $7,500</w:t>
      </w:r>
    </w:p>
    <w:p>
      <w:pPr>
        <w:ind w:left="1680" w:hanging="341"/>
        <w:spacing w:after="0"/>
        <w:tabs>
          <w:tab w:leader="none" w:pos="168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Nominating and Corporate Governance Committee: $5,000</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Equity Compensation</w:t>
      </w:r>
    </w:p>
    <w:p>
      <w:pPr>
        <w:spacing w:after="0" w:line="168" w:lineRule="exact"/>
        <w:rPr>
          <w:sz w:val="20"/>
          <w:szCs w:val="20"/>
          <w:color w:val="auto"/>
        </w:rPr>
      </w:pPr>
    </w:p>
    <w:p>
      <w:pPr>
        <w:ind w:left="640" w:right="679"/>
        <w:spacing w:after="0" w:line="245" w:lineRule="auto"/>
        <w:rPr>
          <w:sz w:val="20"/>
          <w:szCs w:val="20"/>
          <w:color w:val="auto"/>
        </w:rPr>
      </w:pPr>
      <w:r>
        <w:rPr>
          <w:rFonts w:ascii="Times New Roman" w:cs="Times New Roman" w:eastAsia="Times New Roman" w:hAnsi="Times New Roman"/>
          <w:sz w:val="16"/>
          <w:szCs w:val="16"/>
          <w:color w:val="auto"/>
        </w:rPr>
        <w:t>The equity compensation set forth below will be granted under the Company’s 2020 Equity Incentive Plan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subject to the approval of the Plan by the Company’s stockholders. All stock options granted under this policy will be nonstatutory stock options, with an exercise price per share equal to 100% of the Fair Market Value (as defined in the Plan) of the underlying shares of the Company’s common stock (the “</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on the date of grant, and a term of ten years from the date of grant(subject to earlier termination in connection with a termination of service as provided in the Plan).</w:t>
      </w:r>
    </w:p>
    <w:p>
      <w:pPr>
        <w:spacing w:after="0" w:line="144" w:lineRule="exact"/>
        <w:rPr>
          <w:sz w:val="20"/>
          <w:szCs w:val="20"/>
          <w:color w:val="auto"/>
        </w:rPr>
      </w:pPr>
    </w:p>
    <w:p>
      <w:pPr>
        <w:ind w:left="640" w:right="659" w:hanging="2"/>
        <w:spacing w:after="0" w:line="260" w:lineRule="auto"/>
        <w:tabs>
          <w:tab w:leader="none" w:pos="955"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Initial Grant:</w:t>
      </w:r>
      <w:r>
        <w:rPr>
          <w:rFonts w:ascii="Times New Roman" w:cs="Times New Roman" w:eastAsia="Times New Roman" w:hAnsi="Times New Roman"/>
          <w:sz w:val="15"/>
          <w:szCs w:val="15"/>
          <w:color w:val="auto"/>
        </w:rPr>
        <w:t xml:space="preserve"> For each Eligible Director who is first elected or appointed to the Board following the Effective Date, on the date of such Eligible Director’s initial election or appointment to the Board (or, if such date is not a market trading day, the first market trading day thereafter), the Eligible Director will be automatically, and without further action by the Board or the Compensation Committee of the Board, granted a stock option to purchase 60,000 shares of Common Stock (the “</w:t>
      </w:r>
      <w:r>
        <w:rPr>
          <w:rFonts w:ascii="Times New Roman" w:cs="Times New Roman" w:eastAsia="Times New Roman" w:hAnsi="Times New Roman"/>
          <w:sz w:val="15"/>
          <w:szCs w:val="15"/>
          <w:b w:val="1"/>
          <w:bCs w:val="1"/>
          <w:i w:val="1"/>
          <w:iCs w:val="1"/>
          <w:color w:val="auto"/>
        </w:rPr>
        <w:t>Initial Grant</w:t>
      </w:r>
      <w:r>
        <w:rPr>
          <w:rFonts w:ascii="Times New Roman" w:cs="Times New Roman" w:eastAsia="Times New Roman" w:hAnsi="Times New Roman"/>
          <w:sz w:val="15"/>
          <w:szCs w:val="15"/>
          <w:color w:val="auto"/>
        </w:rPr>
        <w:t>”). One-third of the shares subject to each Initial Grant will vest twelve months after the date of grant and the remaining shares will vest in equal monthly installments over the following two-year period such that the option is fully vested on the third anniversary of the date of grant, subject to the Eligible Director’s Continuous Service (as defined in the Plan) through each such vesting date and will vest in full upon a Change in Control (as defined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359410</wp:posOffset>
            </wp:positionV>
            <wp:extent cx="560387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03" w:name="page104"/>
    <w:bookmarkEnd w:id="103"/>
    <w:p>
      <w:pPr>
        <w:ind w:left="640" w:right="679" w:hanging="2"/>
        <w:spacing w:after="0"/>
        <w:tabs>
          <w:tab w:leader="none" w:pos="955"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Grant:</w:t>
      </w:r>
      <w:r>
        <w:rPr>
          <w:rFonts w:ascii="Times New Roman" w:cs="Times New Roman" w:eastAsia="Times New Roman" w:hAnsi="Times New Roman"/>
          <w:sz w:val="16"/>
          <w:szCs w:val="16"/>
          <w:color w:val="auto"/>
        </w:rPr>
        <w:t xml:space="preserve"> On the date of each annual stockholder meeting of the Company held after the Effective Date (an “</w:t>
      </w:r>
      <w:r>
        <w:rPr>
          <w:rFonts w:ascii="Times New Roman" w:cs="Times New Roman" w:eastAsia="Times New Roman" w:hAnsi="Times New Roman"/>
          <w:sz w:val="16"/>
          <w:szCs w:val="16"/>
          <w:b w:val="1"/>
          <w:bCs w:val="1"/>
          <w:i w:val="1"/>
          <w:iCs w:val="1"/>
          <w:color w:val="auto"/>
        </w:rPr>
        <w:t>Annual Meeting</w:t>
      </w:r>
      <w:r>
        <w:rPr>
          <w:rFonts w:ascii="Times New Roman" w:cs="Times New Roman" w:eastAsia="Times New Roman" w:hAnsi="Times New Roman"/>
          <w:sz w:val="16"/>
          <w:szCs w:val="16"/>
          <w:color w:val="auto"/>
        </w:rPr>
        <w:t>”), each Eligible Director who continues to serve as a non-employee member of the Board following such Annual Meeting will be automatically, and without further action by the Board or the Compensation Committee of the Board, granted a stock option to purchase 30,000 shares of Common Stock (the “</w:t>
      </w:r>
      <w:r>
        <w:rPr>
          <w:rFonts w:ascii="Times New Roman" w:cs="Times New Roman" w:eastAsia="Times New Roman" w:hAnsi="Times New Roman"/>
          <w:sz w:val="16"/>
          <w:szCs w:val="16"/>
          <w:b w:val="1"/>
          <w:bCs w:val="1"/>
          <w:i w:val="1"/>
          <w:iCs w:val="1"/>
          <w:color w:val="auto"/>
        </w:rPr>
        <w:t>Annual Grant</w:t>
      </w:r>
      <w:r>
        <w:rPr>
          <w:rFonts w:ascii="Times New Roman" w:cs="Times New Roman" w:eastAsia="Times New Roman" w:hAnsi="Times New Roman"/>
          <w:sz w:val="16"/>
          <w:szCs w:val="16"/>
          <w:color w:val="auto"/>
        </w:rPr>
        <w:t>”). If an Eligible Director was elected or appointed for the first time to be an Eligible Director after the Effective Date and prior to an Annual Meeting, then the Eligible Director will be granted a prorated Annual Grant on the date of the Eligible Director’s election or appointment (the “</w:t>
      </w:r>
      <w:r>
        <w:rPr>
          <w:rFonts w:ascii="Times New Roman" w:cs="Times New Roman" w:eastAsia="Times New Roman" w:hAnsi="Times New Roman"/>
          <w:sz w:val="16"/>
          <w:szCs w:val="16"/>
          <w:b w:val="1"/>
          <w:bCs w:val="1"/>
          <w:i w:val="1"/>
          <w:iCs w:val="1"/>
          <w:color w:val="auto"/>
        </w:rPr>
        <w:t>Prorated Annual Grant</w:t>
      </w:r>
      <w:r>
        <w:rPr>
          <w:rFonts w:ascii="Times New Roman" w:cs="Times New Roman" w:eastAsia="Times New Roman" w:hAnsi="Times New Roman"/>
          <w:sz w:val="16"/>
          <w:szCs w:val="16"/>
          <w:color w:val="auto"/>
        </w:rPr>
        <w:t xml:space="preserve">”) that will be subject to the number of shares of Common Stock equal to the Annual Grant multiplied by a fraction (the numerator of which is equal to (i) 12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(ii) the number of completed months since the most recent Annual Meeting as of the Eligible Director’s date of election or appointment, and the denominator of which is 12), with the resulting number of shares rounded down to the nearest whole share. The shares subject to the Annual Grant or Prorated Annual Grant will vest in full on the sooner of the first anniversary of the date of grant or on the date of Company’s next Annual Meeting, subject to the Eligible Director’s Continuous Service (as defined in the Plan) through such vesting date; provided, further, that the shares subject to the Annual Grant or Prorated Annual Grant will vest in full upon a Change in Control (as defined in the Plan).</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Non-Employee Director Compensation Limit</w:t>
      </w:r>
    </w:p>
    <w:p>
      <w:pPr>
        <w:spacing w:after="0" w:line="172" w:lineRule="exact"/>
        <w:rPr>
          <w:sz w:val="20"/>
          <w:szCs w:val="20"/>
          <w:color w:val="auto"/>
        </w:rPr>
      </w:pPr>
    </w:p>
    <w:p>
      <w:pPr>
        <w:jc w:val="both"/>
        <w:ind w:left="640" w:right="839"/>
        <w:spacing w:after="0" w:line="301" w:lineRule="auto"/>
        <w:rPr>
          <w:sz w:val="20"/>
          <w:szCs w:val="20"/>
          <w:color w:val="auto"/>
        </w:rPr>
      </w:pPr>
      <w:r>
        <w:rPr>
          <w:rFonts w:ascii="Times New Roman" w:cs="Times New Roman" w:eastAsia="Times New Roman" w:hAnsi="Times New Roman"/>
          <w:sz w:val="15"/>
          <w:szCs w:val="15"/>
          <w:color w:val="auto"/>
        </w:rPr>
        <w:t>Notwithstanding the foregoing, the aggregate value of all compensation granted or paid, as applicable, to any individual for service as a Non-Employee Director (as defined in the Plan) shall in no event exceed the limits set forth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338455</wp:posOffset>
            </wp:positionV>
            <wp:extent cx="560387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08" w:right="1440" w:bottom="1440" w:gutter="0" w:footer="0" w:header="0"/>
        </w:sectPr>
      </w:pPr>
    </w:p>
    <w:bookmarkStart w:id="104" w:name="page105"/>
    <w:bookmarkEnd w:id="104"/>
    <w:p>
      <w:pPr>
        <w:ind w:left="7600"/>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PURSUANT TO</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Richard Lowenthal, certify that:</w:t>
      </w:r>
    </w:p>
    <w:p>
      <w:pPr>
        <w:spacing w:after="0" w:line="183" w:lineRule="exact"/>
        <w:rPr>
          <w:sz w:val="20"/>
          <w:szCs w:val="20"/>
          <w:color w:val="auto"/>
        </w:rPr>
      </w:pPr>
    </w:p>
    <w:p>
      <w:pPr>
        <w:ind w:left="640" w:right="879" w:hanging="2"/>
        <w:spacing w:after="0" w:line="292" w:lineRule="auto"/>
        <w:tabs>
          <w:tab w:leader="none" w:pos="891"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quarter ended March 31, 2025 of ARS Pharmaceuticals, Inc. ("the registrant");</w:t>
      </w:r>
    </w:p>
    <w:p>
      <w:pPr>
        <w:spacing w:after="0" w:line="123" w:lineRule="exact"/>
        <w:rPr>
          <w:rFonts w:ascii="Times New Roman" w:cs="Times New Roman" w:eastAsia="Times New Roman" w:hAnsi="Times New Roman"/>
          <w:sz w:val="14"/>
          <w:szCs w:val="14"/>
          <w:color w:val="auto"/>
        </w:rPr>
      </w:pPr>
    </w:p>
    <w:p>
      <w:pPr>
        <w:ind w:left="640" w:right="879" w:hanging="2"/>
        <w:spacing w:after="0" w:line="274" w:lineRule="auto"/>
        <w:tabs>
          <w:tab w:leader="none" w:pos="891"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640" w:right="799" w:hanging="2"/>
        <w:spacing w:after="0" w:line="274" w:lineRule="auto"/>
        <w:tabs>
          <w:tab w:leader="none" w:pos="891"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left="640" w:right="899" w:hanging="2"/>
        <w:spacing w:after="0" w:line="274" w:lineRule="auto"/>
        <w:tabs>
          <w:tab w:leader="none" w:pos="891"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Times New Roman" w:cs="Times New Roman" w:eastAsia="Times New Roman" w:hAnsi="Times New Roman"/>
          <w:sz w:val="14"/>
          <w:szCs w:val="14"/>
          <w:color w:val="auto"/>
        </w:rPr>
      </w:pPr>
    </w:p>
    <w:p>
      <w:pPr>
        <w:ind w:left="980" w:right="819" w:firstLine="8"/>
        <w:spacing w:after="0" w:line="274" w:lineRule="auto"/>
        <w:tabs>
          <w:tab w:leader="none" w:pos="1175"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ind w:left="980" w:right="1159" w:firstLine="8"/>
        <w:spacing w:after="0" w:line="274" w:lineRule="auto"/>
        <w:tabs>
          <w:tab w:leader="none" w:pos="1183"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4"/>
          <w:szCs w:val="14"/>
          <w:color w:val="auto"/>
        </w:rPr>
      </w:pPr>
    </w:p>
    <w:p>
      <w:pPr>
        <w:ind w:left="980" w:right="679" w:firstLine="8"/>
        <w:spacing w:after="0" w:line="274" w:lineRule="auto"/>
        <w:tabs>
          <w:tab w:leader="none" w:pos="1175"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4"/>
          <w:szCs w:val="14"/>
          <w:color w:val="auto"/>
        </w:rPr>
      </w:pPr>
    </w:p>
    <w:p>
      <w:pPr>
        <w:ind w:left="980" w:right="899" w:firstLine="8"/>
        <w:spacing w:after="0" w:line="274" w:lineRule="auto"/>
        <w:tabs>
          <w:tab w:leader="none" w:pos="1183"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left="640" w:right="679" w:hanging="2"/>
        <w:spacing w:after="0" w:line="274" w:lineRule="auto"/>
        <w:tabs>
          <w:tab w:leader="none" w:pos="891"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4"/>
          <w:szCs w:val="14"/>
          <w:color w:val="auto"/>
        </w:rPr>
      </w:pPr>
    </w:p>
    <w:p>
      <w:pPr>
        <w:ind w:left="980" w:right="879" w:firstLine="8"/>
        <w:spacing w:after="0" w:line="274" w:lineRule="auto"/>
        <w:tabs>
          <w:tab w:leader="none" w:pos="1175"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4"/>
          <w:szCs w:val="14"/>
          <w:color w:val="auto"/>
        </w:rPr>
      </w:pPr>
    </w:p>
    <w:p>
      <w:pPr>
        <w:ind w:left="980" w:right="1179" w:firstLine="9"/>
        <w:spacing w:after="0" w:line="292" w:lineRule="auto"/>
        <w:tabs>
          <w:tab w:leader="none" w:pos="1183"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1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Date: May 14, 2025</w:t>
            </w:r>
          </w:p>
        </w:tc>
        <w:tc>
          <w:tcPr>
            <w:tcW w:w="5680" w:type="dxa"/>
            <w:vAlign w:val="bottom"/>
            <w:gridSpan w:val="3"/>
          </w:tcPr>
          <w:p>
            <w:pPr>
              <w:ind w:left="1440"/>
              <w:spacing w:after="0"/>
              <w:rPr>
                <w:sz w:val="20"/>
                <w:szCs w:val="20"/>
                <w:color w:val="auto"/>
              </w:rPr>
            </w:pPr>
            <w:r>
              <w:rPr>
                <w:rFonts w:ascii="Times New Roman" w:cs="Times New Roman" w:eastAsia="Times New Roman" w:hAnsi="Times New Roman"/>
                <w:sz w:val="14"/>
                <w:szCs w:val="14"/>
                <w:color w:val="auto"/>
              </w:rPr>
              <w:t>By: /s/ Richard Lowenthal, M.S., MSEL</w:t>
            </w:r>
          </w:p>
        </w:tc>
      </w:tr>
      <w:tr>
        <w:trPr>
          <w:trHeight w:val="148"/>
        </w:trPr>
        <w:tc>
          <w:tcPr>
            <w:tcW w:w="3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48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rPr>
              <w:t>Richard Lowenthal, M.S., MSEL</w:t>
            </w:r>
          </w:p>
        </w:tc>
        <w:tc>
          <w:tcPr>
            <w:tcW w:w="520" w:type="dxa"/>
            <w:vAlign w:val="bottom"/>
          </w:tcPr>
          <w:p>
            <w:pPr>
              <w:spacing w:after="0"/>
              <w:rPr>
                <w:sz w:val="12"/>
                <w:szCs w:val="12"/>
                <w:color w:val="auto"/>
              </w:rPr>
            </w:pPr>
          </w:p>
        </w:tc>
      </w:tr>
      <w:tr>
        <w:trPr>
          <w:trHeight w:val="172"/>
        </w:trPr>
        <w:tc>
          <w:tcPr>
            <w:tcW w:w="3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3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862"/>
        </w:trPr>
        <w:tc>
          <w:tcPr>
            <w:tcW w:w="3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05" w:name="page106"/>
    <w:bookmarkEnd w:id="105"/>
    <w:p>
      <w:pPr>
        <w:ind w:left="7600"/>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 PURSUANT TO</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Kathleen Scott, certify that:</w:t>
      </w:r>
    </w:p>
    <w:p>
      <w:pPr>
        <w:spacing w:after="0" w:line="183" w:lineRule="exact"/>
        <w:rPr>
          <w:sz w:val="20"/>
          <w:szCs w:val="20"/>
          <w:color w:val="auto"/>
        </w:rPr>
      </w:pPr>
    </w:p>
    <w:p>
      <w:pPr>
        <w:ind w:left="640" w:right="879" w:hanging="2"/>
        <w:spacing w:after="0" w:line="292" w:lineRule="auto"/>
        <w:tabs>
          <w:tab w:leader="none" w:pos="891"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quarter ended March 31, 2025 of ARS Pharmaceuticals, Inc. ("the registrant");</w:t>
      </w:r>
    </w:p>
    <w:p>
      <w:pPr>
        <w:spacing w:after="0" w:line="123" w:lineRule="exact"/>
        <w:rPr>
          <w:rFonts w:ascii="Times New Roman" w:cs="Times New Roman" w:eastAsia="Times New Roman" w:hAnsi="Times New Roman"/>
          <w:sz w:val="14"/>
          <w:szCs w:val="14"/>
          <w:color w:val="auto"/>
        </w:rPr>
      </w:pPr>
    </w:p>
    <w:p>
      <w:pPr>
        <w:ind w:left="640" w:right="879" w:hanging="2"/>
        <w:spacing w:after="0" w:line="274" w:lineRule="auto"/>
        <w:tabs>
          <w:tab w:leader="none" w:pos="891"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640" w:right="799" w:hanging="2"/>
        <w:spacing w:after="0" w:line="274" w:lineRule="auto"/>
        <w:tabs>
          <w:tab w:leader="none" w:pos="891"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left="640" w:right="899" w:hanging="2"/>
        <w:spacing w:after="0" w:line="274" w:lineRule="auto"/>
        <w:tabs>
          <w:tab w:leader="none" w:pos="891"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Times New Roman" w:cs="Times New Roman" w:eastAsia="Times New Roman" w:hAnsi="Times New Roman"/>
          <w:sz w:val="14"/>
          <w:szCs w:val="14"/>
          <w:color w:val="auto"/>
        </w:rPr>
      </w:pPr>
    </w:p>
    <w:p>
      <w:pPr>
        <w:ind w:left="980" w:right="819" w:firstLine="8"/>
        <w:spacing w:after="0" w:line="274" w:lineRule="auto"/>
        <w:tabs>
          <w:tab w:leader="none" w:pos="1175"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ind w:left="980" w:right="1159" w:firstLine="8"/>
        <w:spacing w:after="0" w:line="274" w:lineRule="auto"/>
        <w:tabs>
          <w:tab w:leader="none" w:pos="1183"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4"/>
          <w:szCs w:val="14"/>
          <w:color w:val="auto"/>
        </w:rPr>
      </w:pPr>
    </w:p>
    <w:p>
      <w:pPr>
        <w:ind w:left="980" w:right="679" w:firstLine="8"/>
        <w:spacing w:after="0" w:line="274" w:lineRule="auto"/>
        <w:tabs>
          <w:tab w:leader="none" w:pos="1175"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4"/>
          <w:szCs w:val="14"/>
          <w:color w:val="auto"/>
        </w:rPr>
      </w:pPr>
    </w:p>
    <w:p>
      <w:pPr>
        <w:ind w:left="980" w:right="899" w:firstLine="8"/>
        <w:spacing w:after="0" w:line="274" w:lineRule="auto"/>
        <w:tabs>
          <w:tab w:leader="none" w:pos="1183"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left="640" w:right="679" w:hanging="2"/>
        <w:spacing w:after="0" w:line="274" w:lineRule="auto"/>
        <w:tabs>
          <w:tab w:leader="none" w:pos="891"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4"/>
          <w:szCs w:val="14"/>
          <w:color w:val="auto"/>
        </w:rPr>
      </w:pPr>
    </w:p>
    <w:p>
      <w:pPr>
        <w:ind w:left="980" w:right="879" w:firstLine="8"/>
        <w:spacing w:after="0" w:line="274" w:lineRule="auto"/>
        <w:tabs>
          <w:tab w:leader="none" w:pos="1175"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4"/>
          <w:szCs w:val="14"/>
          <w:color w:val="auto"/>
        </w:rPr>
      </w:pPr>
    </w:p>
    <w:p>
      <w:pPr>
        <w:ind w:left="980" w:right="1179" w:firstLine="9"/>
        <w:spacing w:after="0" w:line="292" w:lineRule="auto"/>
        <w:tabs>
          <w:tab w:leader="none" w:pos="1183"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1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Date: May 14, 2025</w:t>
            </w:r>
          </w:p>
        </w:tc>
        <w:tc>
          <w:tcPr>
            <w:tcW w:w="5680" w:type="dxa"/>
            <w:vAlign w:val="bottom"/>
            <w:gridSpan w:val="3"/>
          </w:tcPr>
          <w:p>
            <w:pPr>
              <w:ind w:left="1440"/>
              <w:spacing w:after="0"/>
              <w:rPr>
                <w:sz w:val="20"/>
                <w:szCs w:val="20"/>
                <w:color w:val="auto"/>
              </w:rPr>
            </w:pPr>
            <w:r>
              <w:rPr>
                <w:rFonts w:ascii="Times New Roman" w:cs="Times New Roman" w:eastAsia="Times New Roman" w:hAnsi="Times New Roman"/>
                <w:sz w:val="14"/>
                <w:szCs w:val="14"/>
                <w:color w:val="auto"/>
              </w:rPr>
              <w:t>By: /s/ Kathleen D. Scott</w:t>
            </w:r>
          </w:p>
        </w:tc>
      </w:tr>
      <w:tr>
        <w:trPr>
          <w:trHeight w:val="148"/>
        </w:trPr>
        <w:tc>
          <w:tcPr>
            <w:tcW w:w="3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48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rPr>
              <w:t>Kathleen D. Scott</w:t>
            </w:r>
          </w:p>
        </w:tc>
        <w:tc>
          <w:tcPr>
            <w:tcW w:w="520" w:type="dxa"/>
            <w:vAlign w:val="bottom"/>
          </w:tcPr>
          <w:p>
            <w:pPr>
              <w:spacing w:after="0"/>
              <w:rPr>
                <w:sz w:val="12"/>
                <w:szCs w:val="12"/>
                <w:color w:val="auto"/>
              </w:rPr>
            </w:pPr>
          </w:p>
        </w:tc>
      </w:tr>
      <w:tr>
        <w:trPr>
          <w:trHeight w:val="172"/>
        </w:trPr>
        <w:tc>
          <w:tcPr>
            <w:tcW w:w="3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6"/>
        </w:trPr>
        <w:tc>
          <w:tcPr>
            <w:tcW w:w="3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r>
      <w:tr>
        <w:trPr>
          <w:trHeight w:val="862"/>
        </w:trPr>
        <w:tc>
          <w:tcPr>
            <w:tcW w:w="3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06" w:name="page107"/>
    <w:bookmarkEnd w:id="106"/>
    <w:p>
      <w:pPr>
        <w:ind w:left="7600"/>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9"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on Form 10-Q of ARS Pharmaceuticals, Inc. (the “Company”) for the quarter ended March 31, 2025, to which this Certification is attached, as filed with the Securities and Exchange Commission on the date hereof (the “Report”), each of the undersigned officers of the Company hereby certifies, pursuant to 18 U.S.C. Section 1350, as adopted pursuant to Section 906 of the Sarbanes-Oxley Act of 2002, that to their knowledge:</w:t>
      </w:r>
    </w:p>
    <w:p>
      <w:pPr>
        <w:spacing w:after="0" w:line="54" w:lineRule="exact"/>
        <w:rPr>
          <w:sz w:val="20"/>
          <w:szCs w:val="20"/>
          <w:color w:val="auto"/>
        </w:rPr>
      </w:pPr>
    </w:p>
    <w:p>
      <w:pPr>
        <w:ind w:left="980" w:right="1059" w:firstLine="8"/>
        <w:spacing w:after="0" w:line="292" w:lineRule="auto"/>
        <w:tabs>
          <w:tab w:leader="none" w:pos="123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37" w:lineRule="exact"/>
        <w:rPr>
          <w:rFonts w:ascii="Times New Roman" w:cs="Times New Roman" w:eastAsia="Times New Roman" w:hAnsi="Times New Roman"/>
          <w:sz w:val="14"/>
          <w:szCs w:val="14"/>
          <w:color w:val="auto"/>
        </w:rPr>
      </w:pPr>
    </w:p>
    <w:p>
      <w:pPr>
        <w:ind w:left="980" w:right="1099" w:firstLine="9"/>
        <w:spacing w:after="0" w:line="292" w:lineRule="auto"/>
        <w:tabs>
          <w:tab w:leader="none" w:pos="123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24" w:lineRule="exact"/>
        <w:rPr>
          <w:sz w:val="20"/>
          <w:szCs w:val="20"/>
          <w:color w:val="auto"/>
        </w:rPr>
      </w:pPr>
    </w:p>
    <w:tbl>
      <w:tblPr>
        <w:tblLayout w:type="fixed"/>
        <w:tblInd w:w="640" w:type="dxa"/>
        <w:tblCellMar>
          <w:top w:w="0" w:type="dxa"/>
          <w:left w:w="0" w:type="dxa"/>
          <w:bottom w:w="0" w:type="dxa"/>
          <w:right w:w="0" w:type="dxa"/>
        </w:tblCellMar>
      </w:tblPr>
      <w:tr>
        <w:trPr>
          <w:trHeight w:val="187"/>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Date: May 14, 2025</w:t>
            </w:r>
          </w:p>
        </w:tc>
        <w:tc>
          <w:tcPr>
            <w:tcW w:w="5160" w:type="dxa"/>
            <w:vAlign w:val="bottom"/>
            <w:gridSpan w:val="2"/>
          </w:tcPr>
          <w:p>
            <w:pPr>
              <w:ind w:left="1440"/>
              <w:spacing w:after="0"/>
              <w:rPr>
                <w:sz w:val="20"/>
                <w:szCs w:val="20"/>
                <w:color w:val="auto"/>
              </w:rPr>
            </w:pPr>
            <w:r>
              <w:rPr>
                <w:rFonts w:ascii="Times New Roman" w:cs="Times New Roman" w:eastAsia="Times New Roman" w:hAnsi="Times New Roman"/>
                <w:sz w:val="14"/>
                <w:szCs w:val="14"/>
                <w:color w:val="auto"/>
              </w:rPr>
              <w:t>By: /s/ Richard Lowenthal, M.S., MSEL</w:t>
            </w:r>
          </w:p>
        </w:tc>
      </w:tr>
      <w:tr>
        <w:trPr>
          <w:trHeight w:val="148"/>
        </w:trPr>
        <w:tc>
          <w:tcPr>
            <w:tcW w:w="25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48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rPr>
              <w:t>Richard Lowenthal, M.S., MSEL</w:t>
            </w:r>
          </w:p>
        </w:tc>
      </w:tr>
      <w:tr>
        <w:trPr>
          <w:trHeight w:val="172"/>
        </w:trPr>
        <w:tc>
          <w:tcPr>
            <w:tcW w:w="2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25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516"/>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Date: May 14, 2025</w:t>
            </w:r>
          </w:p>
        </w:tc>
        <w:tc>
          <w:tcPr>
            <w:tcW w:w="5160" w:type="dxa"/>
            <w:vAlign w:val="bottom"/>
            <w:gridSpan w:val="2"/>
          </w:tcPr>
          <w:p>
            <w:pPr>
              <w:ind w:left="1440"/>
              <w:spacing w:after="0"/>
              <w:rPr>
                <w:sz w:val="20"/>
                <w:szCs w:val="20"/>
                <w:color w:val="auto"/>
              </w:rPr>
            </w:pPr>
            <w:r>
              <w:rPr>
                <w:rFonts w:ascii="Times New Roman" w:cs="Times New Roman" w:eastAsia="Times New Roman" w:hAnsi="Times New Roman"/>
                <w:sz w:val="14"/>
                <w:szCs w:val="14"/>
                <w:color w:val="auto"/>
              </w:rPr>
              <w:t>By: /s/ Kathleen D. Scott</w:t>
            </w:r>
          </w:p>
        </w:tc>
      </w:tr>
      <w:tr>
        <w:trPr>
          <w:trHeight w:val="148"/>
        </w:trPr>
        <w:tc>
          <w:tcPr>
            <w:tcW w:w="25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48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rPr>
              <w:t>Kathleen D. Scott</w:t>
            </w:r>
          </w:p>
        </w:tc>
      </w:tr>
      <w:tr>
        <w:trPr>
          <w:trHeight w:val="172"/>
        </w:trPr>
        <w:tc>
          <w:tcPr>
            <w:tcW w:w="2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6"/>
        </w:trPr>
        <w:tc>
          <w:tcPr>
            <w:tcW w:w="25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r>
    </w:tbl>
    <w:p>
      <w:pPr>
        <w:spacing w:after="0" w:line="158" w:lineRule="exact"/>
        <w:rPr>
          <w:sz w:val="20"/>
          <w:szCs w:val="20"/>
          <w:color w:val="auto"/>
        </w:rPr>
      </w:pPr>
    </w:p>
    <w:p>
      <w:pPr>
        <w:ind w:left="640" w:right="799" w:firstLine="351"/>
        <w:spacing w:after="0" w:line="265" w:lineRule="auto"/>
        <w:rPr>
          <w:sz w:val="20"/>
          <w:szCs w:val="20"/>
          <w:color w:val="auto"/>
        </w:rPr>
      </w:pPr>
      <w:r>
        <w:rPr>
          <w:rFonts w:ascii="Times New Roman" w:cs="Times New Roman" w:eastAsia="Times New Roman" w:hAnsi="Times New Roman"/>
          <w:sz w:val="14"/>
          <w:szCs w:val="14"/>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359410</wp:posOffset>
            </wp:positionV>
            <wp:extent cx="560387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07" w:name="page108"/>
    <w:bookmarkEnd w:id="10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lowerLetter"/>
      <w:start w:val="3"/>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lowerRoman"/>
      <w:start w:val="4"/>
    </w:lvl>
  </w:abstractNum>
  <w:abstractNum w:abstractNumId="29">
    <w:nsid w:val="3006C83E"/>
    <w:multiLevelType w:val="hybridMultilevel"/>
    <w:lvl w:ilvl="0">
      <w:lvlJc w:val="left"/>
      <w:lvlText w:val="%1"/>
      <w:numFmt w:val="decimal"/>
      <w:start w:val="104"/>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lvl w:ilvl="1">
      <w:lvlJc w:val="left"/>
      <w:lvlText w:val="%2."/>
      <w:numFmt w:val="lowerLetter"/>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2"/>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52" Type="http://schemas.openxmlformats.org/officeDocument/2006/relationships/hyperlink" Target="https://www.sec.gov/Archives/edgar/data/1671858/000095017023009491/spry-ex3_1.htm" TargetMode="External"/><Relationship Id="rId255" Type="http://schemas.openxmlformats.org/officeDocument/2006/relationships/hyperlink" Target="https://www.sec.gov/Archives/edgar/data/1671858/000119312520312895/d6627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2025-05-14T06:15:56Z</dcterms:created>
  <dcterms:modified xsi:type="dcterms:W3CDTF">2025-05-14T06:15:56Z</dcterms:modified>
</cp:coreProperties>
</file>